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简体"/>
          <w:b/>
          <w:sz w:val="28"/>
          <w:szCs w:val="28"/>
        </w:rPr>
      </w:pPr>
      <w:bookmarkStart w:id="0" w:name="_GoBack"/>
      <w:bookmarkEnd w:id="0"/>
      <w:r>
        <w:rPr>
          <w:rFonts w:ascii="Times New Roman" w:hAnsi="Times New Roman" w:eastAsia="方正仿宋简体"/>
          <w:b/>
          <w:sz w:val="28"/>
          <w:szCs w:val="28"/>
        </w:rPr>
        <w:t>附件</w:t>
      </w:r>
      <w:r>
        <w:rPr>
          <w:rFonts w:hint="eastAsia" w:ascii="Times New Roman" w:hAnsi="Times New Roman" w:eastAsia="方正仿宋简体"/>
          <w:b/>
          <w:sz w:val="28"/>
          <w:szCs w:val="28"/>
        </w:rPr>
        <w:t>1</w:t>
      </w:r>
    </w:p>
    <w:p>
      <w:pPr>
        <w:spacing w:after="156" w:line="560" w:lineRule="exact"/>
        <w:jc w:val="center"/>
        <w:textAlignment w:val="baseline"/>
        <w:rPr>
          <w:rFonts w:ascii="方正小标宋简体" w:hAnsi="宋体" w:eastAsia="方正小标宋简体"/>
          <w:b/>
          <w:sz w:val="44"/>
        </w:rPr>
      </w:pPr>
    </w:p>
    <w:p>
      <w:pPr>
        <w:spacing w:after="156" w:line="560" w:lineRule="exact"/>
        <w:jc w:val="center"/>
        <w:textAlignment w:val="baseline"/>
        <w:rPr>
          <w:rFonts w:ascii="方正小标宋简体" w:hAnsi="宋体" w:eastAsia="方正小标宋简体"/>
          <w:bCs/>
          <w:sz w:val="44"/>
        </w:rPr>
      </w:pPr>
    </w:p>
    <w:p>
      <w:pPr>
        <w:spacing w:after="156" w:line="560" w:lineRule="exact"/>
        <w:jc w:val="center"/>
        <w:textAlignment w:val="baseline"/>
        <w:rPr>
          <w:rFonts w:ascii="方正小标宋简体" w:hAnsi="宋体" w:eastAsia="方正小标宋简体"/>
          <w:bCs/>
          <w:sz w:val="44"/>
        </w:rPr>
      </w:pPr>
      <w:r>
        <w:rPr>
          <w:rFonts w:ascii="方正小标宋简体" w:hAnsi="宋体" w:eastAsia="方正小标宋简体"/>
          <w:bCs/>
          <w:sz w:val="44"/>
        </w:rPr>
        <w:t>四川大学</w:t>
      </w:r>
    </w:p>
    <w:p>
      <w:pPr>
        <w:spacing w:after="156" w:line="560" w:lineRule="exact"/>
        <w:jc w:val="center"/>
        <w:textAlignment w:val="baseline"/>
        <w:rPr>
          <w:rFonts w:ascii="方正小标宋简体" w:hAnsi="宋体" w:eastAsia="方正小标宋简体"/>
          <w:bCs/>
          <w:sz w:val="44"/>
        </w:rPr>
      </w:pPr>
      <w:r>
        <w:rPr>
          <w:rFonts w:hint="eastAsia" w:ascii="方正小标宋简体" w:hAnsi="宋体" w:eastAsia="方正小标宋简体"/>
          <w:bCs/>
          <w:sz w:val="44"/>
        </w:rPr>
        <w:t>学位授权点建设2021年年度报告</w:t>
      </w:r>
    </w:p>
    <w:p>
      <w:pPr>
        <w:spacing w:after="156" w:line="560" w:lineRule="exact"/>
        <w:jc w:val="center"/>
        <w:textAlignment w:val="baseline"/>
        <w:rPr>
          <w:rFonts w:ascii="方正小标宋简体" w:hAnsi="宋体" w:eastAsia="方正小标宋简体"/>
          <w:bCs/>
          <w:sz w:val="44"/>
        </w:rPr>
      </w:pPr>
      <w:r>
        <w:rPr>
          <w:rFonts w:ascii="方正小标宋简体" w:hAnsi="宋体" w:eastAsia="方正小标宋简体"/>
          <w:bCs/>
          <w:sz w:val="44"/>
        </w:rPr>
        <w:t>（提纲）</w:t>
      </w:r>
    </w:p>
    <w:p>
      <w:pPr>
        <w:spacing w:after="156" w:line="560" w:lineRule="exact"/>
        <w:jc w:val="center"/>
        <w:textAlignment w:val="baseline"/>
        <w:rPr>
          <w:rFonts w:ascii="方正小标宋简体" w:hAnsi="宋体" w:eastAsia="方正小标宋简体"/>
          <w:bCs/>
          <w:sz w:val="44"/>
        </w:rPr>
      </w:pPr>
    </w:p>
    <w:p>
      <w:pPr>
        <w:snapToGrid w:val="0"/>
        <w:jc w:val="center"/>
        <w:textAlignment w:val="baseline"/>
        <w:rPr>
          <w:rFonts w:ascii="Times New Roman" w:hAnsi="Times New Roman"/>
          <w:b/>
          <w:sz w:val="48"/>
        </w:rPr>
      </w:pPr>
    </w:p>
    <w:p>
      <w:pPr>
        <w:snapToGrid w:val="0"/>
        <w:jc w:val="center"/>
        <w:textAlignment w:val="baseline"/>
        <w:rPr>
          <w:rFonts w:ascii="Times New Roman" w:hAnsi="Times New Roman"/>
          <w:b/>
          <w:sz w:val="48"/>
        </w:rPr>
      </w:pPr>
    </w:p>
    <w:p>
      <w:pPr>
        <w:snapToGrid w:val="0"/>
        <w:spacing w:line="300" w:lineRule="auto"/>
        <w:jc w:val="center"/>
        <w:textAlignment w:val="baseline"/>
        <w:rPr>
          <w:rFonts w:ascii="Times New Roman" w:hAnsi="Times New Roman"/>
          <w:b/>
          <w:sz w:val="32"/>
        </w:rPr>
      </w:pPr>
    </w:p>
    <w:tbl>
      <w:tblPr>
        <w:tblStyle w:val="6"/>
        <w:tblW w:w="4431" w:type="dxa"/>
        <w:tblInd w:w="1519"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64"/>
        <w:gridCol w:w="396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64" w:type="dxa"/>
            <w:vMerge w:val="restart"/>
            <w:tcBorders>
              <w:top w:val="nil"/>
              <w:left w:val="nil"/>
              <w:bottom w:val="single" w:color="000000" w:sz="4" w:space="0"/>
              <w:right w:val="single" w:color="000000" w:sz="4" w:space="0"/>
            </w:tcBorders>
            <w:vAlign w:val="center"/>
          </w:tcPr>
          <w:p>
            <w:pPr>
              <w:snapToGrid w:val="0"/>
              <w:spacing w:line="240" w:lineRule="atLeast"/>
              <w:ind w:right="223" w:rightChars="106"/>
              <w:jc w:val="center"/>
              <w:textAlignment w:val="baseline"/>
              <w:rPr>
                <w:rFonts w:ascii="Times New Roman" w:hAnsi="Times New Roman"/>
                <w:b/>
                <w:spacing w:val="-10"/>
                <w:sz w:val="32"/>
              </w:rPr>
            </w:pPr>
            <w:r>
              <w:rPr>
                <w:rFonts w:hint="eastAsia" w:ascii="Times New Roman" w:hAnsi="Times New Roman"/>
                <w:b/>
                <w:spacing w:val="-10"/>
                <w:sz w:val="32"/>
              </w:rPr>
              <w:t xml:space="preserve"> </w:t>
            </w:r>
          </w:p>
        </w:tc>
        <w:tc>
          <w:tcPr>
            <w:tcW w:w="3967" w:type="dxa"/>
            <w:tcBorders>
              <w:top w:val="nil"/>
              <w:left w:val="single" w:color="000000" w:sz="4" w:space="0"/>
              <w:bottom w:val="single" w:color="000000" w:sz="4" w:space="0"/>
              <w:right w:val="nil"/>
            </w:tcBorders>
            <w:vAlign w:val="center"/>
          </w:tcPr>
          <w:p>
            <w:pPr>
              <w:snapToGrid w:val="0"/>
              <w:spacing w:line="300" w:lineRule="auto"/>
              <w:textAlignment w:val="baseline"/>
              <w:rPr>
                <w:rFonts w:ascii="Times New Roman" w:hAnsi="Times New Roman"/>
                <w:b/>
                <w:spacing w:val="-10"/>
                <w:sz w:val="32"/>
              </w:rPr>
            </w:pPr>
            <w:r>
              <w:rPr>
                <w:rFonts w:ascii="Times New Roman" w:hAnsi="Times New Roman"/>
                <w:b/>
                <w:spacing w:val="-10"/>
                <w:sz w:val="32"/>
              </w:rPr>
              <w:t>学位点名称：</w:t>
            </w:r>
            <w:r>
              <w:rPr>
                <w:rFonts w:hint="eastAsia" w:ascii="Times New Roman" w:hAnsi="Times New Roman"/>
                <w:b/>
                <w:spacing w:val="-10"/>
                <w:sz w:val="32"/>
              </w:rPr>
              <w:t>世界史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64" w:type="dxa"/>
            <w:vMerge w:val="continue"/>
            <w:tcBorders>
              <w:top w:val="single" w:color="000000" w:sz="4" w:space="0"/>
              <w:left w:val="nil"/>
              <w:bottom w:val="nil"/>
              <w:right w:val="single" w:color="000000" w:sz="4" w:space="0"/>
            </w:tcBorders>
            <w:vAlign w:val="center"/>
          </w:tcPr>
          <w:p>
            <w:pPr>
              <w:snapToGrid w:val="0"/>
              <w:spacing w:line="300" w:lineRule="auto"/>
              <w:jc w:val="center"/>
              <w:textAlignment w:val="baseline"/>
              <w:rPr>
                <w:rFonts w:ascii="Times New Roman" w:hAnsi="Times New Roman"/>
                <w:b/>
                <w:spacing w:val="-10"/>
                <w:sz w:val="32"/>
              </w:rPr>
            </w:pPr>
          </w:p>
        </w:tc>
        <w:tc>
          <w:tcPr>
            <w:tcW w:w="3967" w:type="dxa"/>
            <w:tcBorders>
              <w:top w:val="single" w:color="000000" w:sz="4" w:space="0"/>
              <w:left w:val="single" w:color="000000" w:sz="4" w:space="0"/>
              <w:bottom w:val="nil"/>
              <w:right w:val="nil"/>
            </w:tcBorders>
            <w:vAlign w:val="center"/>
          </w:tcPr>
          <w:p>
            <w:pPr>
              <w:snapToGrid w:val="0"/>
              <w:spacing w:line="300" w:lineRule="auto"/>
              <w:textAlignment w:val="baseline"/>
              <w:rPr>
                <w:rFonts w:ascii="Times New Roman" w:hAnsi="Times New Roman"/>
                <w:b/>
                <w:spacing w:val="-10"/>
                <w:sz w:val="32"/>
              </w:rPr>
            </w:pPr>
            <w:r>
              <w:rPr>
                <w:rFonts w:ascii="Times New Roman" w:hAnsi="Times New Roman"/>
                <w:b/>
                <w:spacing w:val="-10"/>
                <w:sz w:val="32"/>
              </w:rPr>
              <w:t>学位点代码：</w:t>
            </w:r>
            <w:r>
              <w:rPr>
                <w:rFonts w:hint="eastAsia" w:ascii="Times New Roman" w:hAnsi="Times New Roman"/>
                <w:b/>
                <w:spacing w:val="-10"/>
                <w:sz w:val="32"/>
              </w:rPr>
              <w:t>0603</w:t>
            </w:r>
          </w:p>
        </w:tc>
      </w:tr>
    </w:tbl>
    <w:p>
      <w:pPr>
        <w:snapToGrid w:val="0"/>
        <w:spacing w:line="300" w:lineRule="auto"/>
        <w:jc w:val="center"/>
        <w:textAlignment w:val="baseline"/>
        <w:rPr>
          <w:rFonts w:ascii="Times New Roman" w:hAnsi="Times New Roman"/>
          <w:b/>
          <w:sz w:val="48"/>
        </w:rPr>
      </w:pPr>
    </w:p>
    <w:p>
      <w:pPr>
        <w:spacing w:line="560" w:lineRule="exact"/>
        <w:jc w:val="center"/>
        <w:textAlignment w:val="baseline"/>
        <w:rPr>
          <w:rFonts w:ascii="Times New Roman" w:hAnsi="Times New Roman" w:eastAsia="楷体_GB2312"/>
          <w:b/>
          <w:sz w:val="30"/>
        </w:rPr>
      </w:pPr>
    </w:p>
    <w:p>
      <w:pPr>
        <w:widowControl/>
        <w:spacing w:line="600" w:lineRule="exact"/>
        <w:ind w:firstLine="640" w:firstLineChars="200"/>
        <w:textAlignment w:val="baseline"/>
        <w:rPr>
          <w:rFonts w:ascii="黑体" w:hAnsi="黑体" w:eastAsia="黑体"/>
          <w:sz w:val="32"/>
        </w:rPr>
      </w:pPr>
    </w:p>
    <w:p>
      <w:pPr>
        <w:spacing w:line="560" w:lineRule="exact"/>
        <w:jc w:val="center"/>
        <w:textAlignment w:val="baseline"/>
        <w:rPr>
          <w:rFonts w:ascii="Times New Roman" w:hAnsi="Times New Roman" w:eastAsia="楷体_GB2312"/>
          <w:b/>
          <w:sz w:val="30"/>
        </w:rPr>
      </w:pPr>
    </w:p>
    <w:p>
      <w:pPr>
        <w:spacing w:line="560" w:lineRule="exact"/>
        <w:jc w:val="center"/>
        <w:textAlignment w:val="baseline"/>
        <w:rPr>
          <w:rFonts w:ascii="黑体" w:hAnsi="黑体" w:eastAsia="黑体"/>
          <w:sz w:val="32"/>
        </w:rPr>
        <w:sectPr>
          <w:footerReference r:id="rId3"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楷体_GB2312"/>
          <w:b/>
          <w:sz w:val="32"/>
        </w:rPr>
        <w:t>202</w:t>
      </w:r>
      <w:r>
        <w:rPr>
          <w:rFonts w:hint="eastAsia" w:ascii="Times New Roman" w:hAnsi="Times New Roman" w:eastAsia="楷体_GB2312"/>
          <w:b/>
          <w:sz w:val="32"/>
        </w:rPr>
        <w:t>2</w:t>
      </w:r>
      <w:r>
        <w:rPr>
          <w:rFonts w:ascii="Times New Roman" w:hAnsi="Times New Roman" w:eastAsia="楷体_GB2312"/>
          <w:b/>
          <w:sz w:val="32"/>
        </w:rPr>
        <w:t xml:space="preserve">年 </w:t>
      </w:r>
      <w:r>
        <w:rPr>
          <w:rFonts w:hint="eastAsia" w:ascii="Times New Roman" w:hAnsi="Times New Roman" w:eastAsia="楷体_GB2312"/>
          <w:b/>
          <w:sz w:val="32"/>
        </w:rPr>
        <w:t>4</w:t>
      </w:r>
      <w:r>
        <w:rPr>
          <w:rFonts w:ascii="Times New Roman" w:hAnsi="Times New Roman" w:eastAsia="楷体_GB2312"/>
          <w:b/>
          <w:sz w:val="32"/>
        </w:rPr>
        <w:t xml:space="preserve">月 </w:t>
      </w:r>
      <w:r>
        <w:rPr>
          <w:rFonts w:hint="eastAsia" w:ascii="Times New Roman" w:hAnsi="Times New Roman" w:eastAsia="楷体_GB2312"/>
          <w:b/>
          <w:sz w:val="32"/>
        </w:rPr>
        <w:t>15</w:t>
      </w:r>
      <w:r>
        <w:rPr>
          <w:rFonts w:ascii="Times New Roman" w:hAnsi="Times New Roman" w:eastAsia="楷体_GB2312"/>
          <w:b/>
          <w:sz w:val="32"/>
        </w:rPr>
        <w:t>日</w:t>
      </w:r>
    </w:p>
    <w:p>
      <w:pPr>
        <w:widowControl/>
        <w:spacing w:line="560" w:lineRule="exact"/>
        <w:textAlignment w:val="baseline"/>
        <w:rPr>
          <w:rFonts w:ascii="方正仿宋简体" w:hAnsi="方正仿宋简体" w:eastAsia="方正仿宋简体" w:cs="方正仿宋简体"/>
          <w:sz w:val="32"/>
        </w:rPr>
      </w:pPr>
      <w:r>
        <w:rPr>
          <w:rFonts w:hint="eastAsia" w:ascii="黑体" w:hAnsi="黑体" w:eastAsia="黑体"/>
          <w:sz w:val="32"/>
        </w:rPr>
        <w:t xml:space="preserve">  </w:t>
      </w:r>
      <w:r>
        <w:rPr>
          <w:rFonts w:hint="eastAsia" w:ascii="方正仿宋简体" w:hAnsi="方正仿宋简体" w:eastAsia="方正仿宋简体" w:cs="方正仿宋简体"/>
          <w:sz w:val="32"/>
        </w:rPr>
        <w:t>一、总体概况</w:t>
      </w:r>
    </w:p>
    <w:p>
      <w:pPr>
        <w:ind w:firstLine="420" w:firstLineChars="200"/>
        <w:rPr>
          <w:szCs w:val="21"/>
        </w:rPr>
      </w:pPr>
      <w:r>
        <w:rPr>
          <w:rFonts w:hint="eastAsia"/>
          <w:szCs w:val="21"/>
        </w:rPr>
        <w:t>本学科历史悠久，卢剑波、赵卫邦、谭英华、杨宗遂和顾学稼等前辈开辟了诸多研究领域并为之奠定了坚实的学术基础。经过几代学者的不懈努力，本学科传承有序，现已成为西南地区世界史学科重镇之一。</w:t>
      </w:r>
    </w:p>
    <w:p>
      <w:pPr>
        <w:ind w:firstLine="420" w:firstLineChars="200"/>
        <w:rPr>
          <w:szCs w:val="21"/>
        </w:rPr>
      </w:pPr>
      <w:r>
        <w:rPr>
          <w:rFonts w:hint="eastAsia"/>
          <w:szCs w:val="21"/>
        </w:rPr>
        <w:t>本学科以川大世界史系为主体进行建设。</w:t>
      </w:r>
      <w:r>
        <w:rPr>
          <w:rFonts w:hint="eastAsia"/>
          <w:b/>
          <w:szCs w:val="21"/>
        </w:rPr>
        <w:t>2011年获得世界史一级学科博士学位授权点，属于省级重点学科</w:t>
      </w:r>
      <w:r>
        <w:rPr>
          <w:rFonts w:hint="eastAsia"/>
          <w:szCs w:val="21"/>
        </w:rPr>
        <w:t>。2017年以来，本学科依托四川大学“区域历史与边疆学”学科群进行一流学科建设，建设目标是</w:t>
      </w:r>
      <w:r>
        <w:rPr>
          <w:rFonts w:hint="eastAsia"/>
          <w:b/>
          <w:szCs w:val="21"/>
        </w:rPr>
        <w:t>建成中西部地区一流世界史学科</w:t>
      </w:r>
      <w:r>
        <w:rPr>
          <w:rFonts w:hint="eastAsia"/>
          <w:szCs w:val="21"/>
        </w:rPr>
        <w:t>。近五年（2016-2020）招收硕士生100人、博士生21人，授予硕士学位99人，授予博士学位14人。本学科具有一支结构合理的高素质学术队伍，现有（截至2021年12月）教授8人、副教授12人、讲师7人，其中博士生导师6人、硕士生导师15人，大多数教师都有海外学习经历。近十年来，本学科累计发表A&amp;HCI、CSSCI论文250余篇。</w:t>
      </w:r>
    </w:p>
    <w:p>
      <w:pPr>
        <w:ind w:firstLine="420" w:firstLineChars="200"/>
        <w:rPr>
          <w:szCs w:val="21"/>
        </w:rPr>
      </w:pPr>
      <w:r>
        <w:rPr>
          <w:rFonts w:hint="eastAsia"/>
          <w:szCs w:val="21"/>
        </w:rPr>
        <w:t>本学科硕博士招生的二级学科包括：</w:t>
      </w:r>
      <w:r>
        <w:rPr>
          <w:rFonts w:hint="eastAsia"/>
          <w:b/>
          <w:szCs w:val="21"/>
        </w:rPr>
        <w:t>外国史学理论与史学史</w:t>
      </w:r>
      <w:r>
        <w:rPr>
          <w:rFonts w:hint="eastAsia"/>
          <w:szCs w:val="21"/>
        </w:rPr>
        <w:t>；</w:t>
      </w:r>
      <w:r>
        <w:rPr>
          <w:rFonts w:hint="eastAsia"/>
          <w:b/>
          <w:szCs w:val="21"/>
        </w:rPr>
        <w:t>世界上古中古史</w:t>
      </w:r>
      <w:r>
        <w:rPr>
          <w:rFonts w:hint="eastAsia"/>
          <w:szCs w:val="21"/>
        </w:rPr>
        <w:t>；</w:t>
      </w:r>
      <w:r>
        <w:rPr>
          <w:rFonts w:hint="eastAsia"/>
          <w:b/>
          <w:szCs w:val="21"/>
        </w:rPr>
        <w:t>欧洲社会文化史</w:t>
      </w:r>
      <w:r>
        <w:rPr>
          <w:rFonts w:hint="eastAsia"/>
          <w:szCs w:val="21"/>
        </w:rPr>
        <w:t>；</w:t>
      </w:r>
      <w:r>
        <w:rPr>
          <w:rFonts w:hint="eastAsia"/>
          <w:b/>
          <w:szCs w:val="21"/>
        </w:rPr>
        <w:t>世界近现代史</w:t>
      </w:r>
      <w:r>
        <w:rPr>
          <w:rFonts w:hint="eastAsia"/>
          <w:szCs w:val="21"/>
        </w:rPr>
        <w:t>；</w:t>
      </w:r>
      <w:r>
        <w:rPr>
          <w:rFonts w:hint="eastAsia"/>
          <w:b/>
          <w:szCs w:val="21"/>
        </w:rPr>
        <w:t>世界地区与国别史；历史人类学；中外交流史</w:t>
      </w:r>
      <w:r>
        <w:rPr>
          <w:rFonts w:hint="eastAsia"/>
          <w:szCs w:val="21"/>
        </w:rPr>
        <w:t>。其中，欧洲社会文化史特别是文艺复兴研究在国内学术界具有重要影响，自2000年以来，该方向教师在《中国社会科学》、《历史研究》和《世界历史》等核心期刊发表论文50余篇，出版专著、译著20余部。</w:t>
      </w:r>
    </w:p>
    <w:p>
      <w:pPr>
        <w:ind w:firstLine="420" w:firstLineChars="200"/>
        <w:rPr>
          <w:szCs w:val="21"/>
        </w:rPr>
      </w:pPr>
      <w:r>
        <w:rPr>
          <w:rFonts w:hint="eastAsia"/>
          <w:szCs w:val="21"/>
        </w:rPr>
        <w:t>本学科人才培养目标是：</w:t>
      </w:r>
      <w:r>
        <w:rPr>
          <w:rFonts w:hint="eastAsia"/>
          <w:b/>
          <w:szCs w:val="21"/>
        </w:rPr>
        <w:t>既要培养专家学者，又要培养能适应国家社会发展需求的全方位复合型人才</w:t>
      </w:r>
      <w:r>
        <w:rPr>
          <w:rFonts w:hint="eastAsia"/>
          <w:szCs w:val="21"/>
        </w:rPr>
        <w:t>。本学科依托“历史学基地”（国家级，1995）、“一流本科专业”（历史学，国家级，2019）、“强基计划”（历史学，国家级，2019）、“拔尖计划”（历史学，国家级，2021）以及“世界史+外国语”实验班（校级，2018），培养了大批优秀本科毕业生。</w:t>
      </w:r>
      <w:r>
        <w:rPr>
          <w:rFonts w:hint="eastAsia"/>
          <w:b/>
          <w:szCs w:val="21"/>
        </w:rPr>
        <w:t>2018届本科生有11人（占世界史方向本科生的50%）被推免到国内重点高校深造</w:t>
      </w:r>
      <w:r>
        <w:rPr>
          <w:rFonts w:hint="eastAsia"/>
          <w:szCs w:val="21"/>
        </w:rPr>
        <w:t>。近年来，数名本科生被耶鲁大学、伦敦大学学院等国外知名高校录取为研究生。自1979年启动硕士生招生、2001年启动博士生招生以来，截至2020年，本学科共培养了硕士350人、博士56人。2016-2020年间，本学科共培养了硕士99人、博士25人，其平均就业率在95%以上，硕士生升学率在15%以上。</w:t>
      </w:r>
    </w:p>
    <w:p>
      <w:pPr>
        <w:ind w:firstLine="420" w:firstLineChars="200"/>
        <w:rPr>
          <w:szCs w:val="21"/>
        </w:rPr>
      </w:pPr>
      <w:r>
        <w:rPr>
          <w:rFonts w:hint="eastAsia"/>
          <w:szCs w:val="21"/>
        </w:rPr>
        <w:t>本学科生源质量稳步提高。以2020级硕士生为例，</w:t>
      </w:r>
      <w:r>
        <w:rPr>
          <w:rFonts w:hint="eastAsia"/>
          <w:b/>
          <w:szCs w:val="21"/>
        </w:rPr>
        <w:t>推免生占比为65%，来自吉林大学、东北师范大学、首都师范大学、天津师范大学、西北大学、厦门大学等重点高校的生源占比为74%</w:t>
      </w:r>
      <w:r>
        <w:rPr>
          <w:rFonts w:hint="eastAsia"/>
          <w:szCs w:val="21"/>
        </w:rPr>
        <w:t>。近五年（2017-2021）招收的博士生，其硕士阶段就读学校100%为“双一流”高校。</w:t>
      </w:r>
    </w:p>
    <w:p>
      <w:pPr>
        <w:ind w:firstLine="422" w:firstLineChars="200"/>
        <w:rPr>
          <w:szCs w:val="21"/>
        </w:rPr>
      </w:pPr>
      <w:r>
        <w:rPr>
          <w:rFonts w:hint="eastAsia"/>
          <w:b/>
          <w:szCs w:val="21"/>
        </w:rPr>
        <w:t>本学科在教育部第四轮学科评估中被评为B档，在上海软科“中国大学最好学科”（2017-2021）排名中处于第 10</w:t>
      </w:r>
      <w:r>
        <w:rPr>
          <w:rFonts w:hint="eastAsia"/>
          <w:b/>
          <w:szCs w:val="21"/>
        </w:rPr>
        <w:sym w:font="Symbol" w:char="F07E"/>
      </w:r>
      <w:r>
        <w:rPr>
          <w:rFonts w:hint="eastAsia"/>
          <w:b/>
          <w:szCs w:val="21"/>
        </w:rPr>
        <w:t>16位</w:t>
      </w:r>
      <w:r>
        <w:rPr>
          <w:rFonts w:hint="eastAsia"/>
          <w:szCs w:val="21"/>
        </w:rPr>
        <w:t>。据历年就业数据统计，四川省世界史学科专业人才将近50%曾就读于川大。过去六年，本学科通过“</w:t>
      </w:r>
      <w:r>
        <w:rPr>
          <w:rFonts w:hint="eastAsia"/>
          <w:b/>
          <w:szCs w:val="21"/>
        </w:rPr>
        <w:t>请进来</w:t>
      </w:r>
      <w:r>
        <w:rPr>
          <w:rFonts w:hint="eastAsia"/>
          <w:szCs w:val="21"/>
        </w:rPr>
        <w:t>”的方式，主办了20余次较大规模的学术会议和近60场学术讲座；通过“</w:t>
      </w:r>
      <w:r>
        <w:rPr>
          <w:rFonts w:hint="eastAsia"/>
          <w:b/>
          <w:szCs w:val="21"/>
        </w:rPr>
        <w:t>走出去</w:t>
      </w:r>
      <w:r>
        <w:rPr>
          <w:rFonts w:hint="eastAsia"/>
          <w:szCs w:val="21"/>
        </w:rPr>
        <w:t>”的方式，与剑桥大学、利兹大学、吉森大学、明尼苏达大学、达卡大学以及香港科技大学、澳门大学等境外名校建立了良好的合作关系。</w:t>
      </w:r>
    </w:p>
    <w:p>
      <w:pPr>
        <w:ind w:firstLine="640" w:firstLineChars="200"/>
        <w:outlineLvl w:val="2"/>
        <w:rPr>
          <w:rFonts w:ascii="黑体" w:hAnsi="黑体" w:eastAsia="黑体" w:cs="黑体"/>
          <w:sz w:val="32"/>
        </w:rPr>
      </w:pPr>
    </w:p>
    <w:p>
      <w:pPr>
        <w:ind w:firstLine="640" w:firstLineChars="200"/>
        <w:outlineLvl w:val="2"/>
        <w:rPr>
          <w:rFonts w:ascii="黑体" w:hAnsi="黑体" w:eastAsia="黑体" w:cs="黑体"/>
          <w:sz w:val="32"/>
        </w:rPr>
      </w:pPr>
      <w:r>
        <w:rPr>
          <w:rFonts w:hint="eastAsia" w:ascii="黑体" w:hAnsi="黑体" w:eastAsia="黑体" w:cs="黑体"/>
          <w:sz w:val="32"/>
        </w:rPr>
        <w:t>二、研究生党建与思想政治教育工作</w:t>
      </w:r>
    </w:p>
    <w:p>
      <w:pPr>
        <w:ind w:firstLine="411" w:firstLineChars="196"/>
        <w:rPr>
          <w:bCs/>
          <w:szCs w:val="21"/>
        </w:rPr>
      </w:pPr>
      <w:r>
        <w:rPr>
          <w:rFonts w:hint="eastAsia"/>
          <w:bCs/>
          <w:szCs w:val="21"/>
        </w:rPr>
        <w:t>本学科紧紧围绕课程、科研、实践、文化、网络等“十大育人体系”，推进“三全育人”综合改革：</w:t>
      </w:r>
    </w:p>
    <w:p>
      <w:pPr>
        <w:ind w:firstLine="413" w:firstLineChars="196"/>
        <w:rPr>
          <w:bCs/>
          <w:szCs w:val="21"/>
        </w:rPr>
      </w:pPr>
      <w:r>
        <w:rPr>
          <w:rFonts w:hint="eastAsia"/>
          <w:b/>
          <w:szCs w:val="21"/>
        </w:rPr>
        <w:t>1、建立了课程思政育人新课程体系。</w:t>
      </w:r>
      <w:r>
        <w:rPr>
          <w:rFonts w:hint="eastAsia"/>
          <w:bCs/>
          <w:szCs w:val="21"/>
        </w:rPr>
        <w:t>开设《马克思主义史学专题研究》、《西方史学理论》和《学术规范与研究生论文写作指导》等研究生平台课，加强对学生进行历史唯物主义教育以及学术道德与规范教育。</w:t>
      </w:r>
    </w:p>
    <w:p>
      <w:pPr>
        <w:ind w:firstLine="422" w:firstLineChars="200"/>
        <w:rPr>
          <w:bCs/>
          <w:szCs w:val="21"/>
        </w:rPr>
      </w:pPr>
      <w:r>
        <w:rPr>
          <w:rFonts w:hint="eastAsia"/>
          <w:b/>
          <w:szCs w:val="21"/>
        </w:rPr>
        <w:t>2、开辟了社会实践育人新路径。</w:t>
      </w:r>
      <w:r>
        <w:rPr>
          <w:rFonts w:hint="eastAsia"/>
          <w:bCs/>
          <w:szCs w:val="21"/>
        </w:rPr>
        <w:t>与阿坝师范学院、四川民族学院建立教研互助平台，充实少数民族地区的世界史教育；参观博物馆、红色教育基地，树立师生为国家、民族和地方服务和奉献的精神；开展口述史项目，学生通过具体个案接受“四史”教育。组织学生参加金沙遗址博物馆、成都市博物馆、博鳌亚洲论坛的志愿者活动，使学生有机会近距离参与社会实践。</w:t>
      </w:r>
    </w:p>
    <w:p>
      <w:pPr>
        <w:ind w:firstLine="422" w:firstLineChars="200"/>
        <w:rPr>
          <w:bCs/>
          <w:szCs w:val="21"/>
        </w:rPr>
      </w:pPr>
      <w:r>
        <w:rPr>
          <w:rFonts w:hint="eastAsia"/>
          <w:b/>
          <w:szCs w:val="21"/>
        </w:rPr>
        <w:t>3、夯实了意识形态育人新阵地。</w:t>
      </w:r>
      <w:r>
        <w:rPr>
          <w:rFonts w:hint="eastAsia"/>
          <w:bCs/>
          <w:szCs w:val="21"/>
        </w:rPr>
        <w:t>每学年举行革命文化教育活动数次，举办社团文化活动20余场，200余人次参加，增强了学生的文化自信，有助于筑牢中华民族的共同体意识；本学科建立了2个公众号，宣传新思想，传播正能量。疫情期间，本学科学生坚持正能量宣传，撰写了相关报道数篇，以正国际视听。</w:t>
      </w:r>
    </w:p>
    <w:p>
      <w:pPr>
        <w:widowControl/>
        <w:ind w:firstLine="422" w:firstLineChars="200"/>
        <w:textAlignment w:val="baseline"/>
        <w:rPr>
          <w:bCs/>
          <w:szCs w:val="21"/>
        </w:rPr>
      </w:pPr>
      <w:r>
        <w:rPr>
          <w:rFonts w:hint="eastAsia"/>
          <w:b/>
          <w:szCs w:val="21"/>
        </w:rPr>
        <w:t>4、拓展了基层思政教育新平台。</w:t>
      </w:r>
      <w:r>
        <w:rPr>
          <w:rFonts w:hint="eastAsia"/>
          <w:bCs/>
          <w:szCs w:val="21"/>
        </w:rPr>
        <w:t>培养党员同学作为“关天学社”、“美国史工作坊”这两个社团的核心成员。让思政教育融入学生的日常学习生活；2017级世界史专业研究生获得四川大学“百佳学生集体”荣誉称号。团委学生会连续三年荣获“优秀研究生会”荣誉称号。</w:t>
      </w:r>
    </w:p>
    <w:p>
      <w:pPr>
        <w:widowControl/>
        <w:ind w:firstLine="420" w:firstLineChars="200"/>
        <w:textAlignment w:val="baseline"/>
        <w:rPr>
          <w:bCs/>
          <w:szCs w:val="21"/>
        </w:rPr>
      </w:pPr>
    </w:p>
    <w:p>
      <w:pPr>
        <w:ind w:firstLine="640" w:firstLineChars="200"/>
        <w:outlineLvl w:val="2"/>
        <w:rPr>
          <w:rFonts w:ascii="黑体" w:hAnsi="黑体" w:eastAsia="黑体" w:cs="黑体"/>
          <w:sz w:val="32"/>
        </w:rPr>
      </w:pPr>
      <w:r>
        <w:rPr>
          <w:rFonts w:hint="eastAsia" w:ascii="黑体" w:hAnsi="黑体" w:eastAsia="黑体" w:cs="黑体"/>
          <w:sz w:val="32"/>
        </w:rPr>
        <w:t>三、研究生培养相关制度及执行情况</w:t>
      </w:r>
    </w:p>
    <w:p>
      <w:pPr>
        <w:ind w:firstLine="480"/>
        <w:rPr>
          <w:szCs w:val="21"/>
        </w:rPr>
      </w:pPr>
      <w:r>
        <w:rPr>
          <w:rFonts w:hint="eastAsia"/>
          <w:szCs w:val="21"/>
        </w:rPr>
        <w:t>（一）为推动课程教学改革，严把教学质量和课程质量关，本学科采取了如下措施：</w:t>
      </w:r>
    </w:p>
    <w:p>
      <w:pPr>
        <w:ind w:firstLine="422" w:firstLineChars="200"/>
        <w:rPr>
          <w:szCs w:val="21"/>
        </w:rPr>
      </w:pPr>
      <w:r>
        <w:rPr>
          <w:rFonts w:hint="eastAsia"/>
          <w:b/>
          <w:bCs/>
          <w:szCs w:val="21"/>
        </w:rPr>
        <w:t>1、立足专业，助力全校通识教育。</w:t>
      </w:r>
      <w:r>
        <w:rPr>
          <w:rFonts w:hint="eastAsia"/>
          <w:szCs w:val="21"/>
        </w:rPr>
        <w:t>本学科致力于打造生动、丰富的本科生课程，扎实的硕士生课程和精深的博士生课程。其中，博士生课程主要以导师组课程的形式开设，以确保课程数量及精度与学生毕业论文选题具有较高一致性。在完善本学科课程体系建设的前提下，结合学科特点，本学科还开设了一些具有通识教育意义的选修课，如欧洲文艺复兴研究课程和南亚研究课程。</w:t>
      </w:r>
    </w:p>
    <w:p>
      <w:pPr>
        <w:ind w:firstLine="422" w:firstLineChars="200"/>
        <w:jc w:val="left"/>
        <w:rPr>
          <w:szCs w:val="21"/>
        </w:rPr>
      </w:pPr>
      <w:r>
        <w:rPr>
          <w:rFonts w:hint="eastAsia"/>
          <w:b/>
          <w:szCs w:val="21"/>
        </w:rPr>
        <w:t>2、打破学科边界，促成学生专业能力的质变。</w:t>
      </w:r>
      <w:r>
        <w:rPr>
          <w:rFonts w:hint="eastAsia"/>
          <w:szCs w:val="21"/>
        </w:rPr>
        <w:t>通过本科生“世界史+外国语”实验班的建设，提升学生的外语水平，特别是第二外语的水平。就研究生而言，鉴于外校推免生或统考生多数未接受严格的外语训练，本学科在硕博士研究生阶段继续推进外语教学改革，充分利用校内外语言学习资源，提升学生的外语水平。</w:t>
      </w:r>
    </w:p>
    <w:p>
      <w:pPr>
        <w:ind w:firstLine="422" w:firstLineChars="200"/>
        <w:jc w:val="left"/>
        <w:rPr>
          <w:szCs w:val="21"/>
        </w:rPr>
      </w:pPr>
      <w:r>
        <w:rPr>
          <w:rFonts w:hint="eastAsia"/>
          <w:b/>
          <w:bCs/>
          <w:szCs w:val="21"/>
        </w:rPr>
        <w:t>3、研学结合，探索“教学相长”的新路径。</w:t>
      </w:r>
      <w:r>
        <w:rPr>
          <w:rFonts w:hint="eastAsia"/>
          <w:szCs w:val="21"/>
        </w:rPr>
        <w:t>本学科在研究生教学中推行“研学结合”和“导师组指导”的综合改革。“研学结合”是指，本学科设立不同类型的科研课题，研究生组成课题组自愿申报，获批课题可获得1000</w:t>
      </w:r>
      <w:r>
        <w:rPr>
          <w:rFonts w:hint="eastAsia"/>
          <w:szCs w:val="21"/>
        </w:rPr>
        <w:sym w:font="Symbol" w:char="F07E"/>
      </w:r>
      <w:r>
        <w:rPr>
          <w:rFonts w:hint="eastAsia"/>
          <w:szCs w:val="21"/>
        </w:rPr>
        <w:t>3000元不等的资助，以课题论文结项。“导师组指导”是指，研究生的日常学习、读书班、学术工作坊以及学位论文，都由相近专业导师组成的导师组指导。</w:t>
      </w:r>
    </w:p>
    <w:p>
      <w:pPr>
        <w:ind w:firstLine="422" w:firstLineChars="200"/>
        <w:jc w:val="left"/>
        <w:rPr>
          <w:szCs w:val="21"/>
        </w:rPr>
      </w:pPr>
      <w:r>
        <w:rPr>
          <w:rFonts w:hint="eastAsia"/>
          <w:b/>
          <w:szCs w:val="21"/>
        </w:rPr>
        <w:t>4、强化督导，严把教学质量关。</w:t>
      </w:r>
      <w:r>
        <w:rPr>
          <w:rFonts w:hint="eastAsia"/>
          <w:szCs w:val="21"/>
        </w:rPr>
        <w:t>构建“全方位、全覆盖、全过程、零容忍”的学术诚信建设体系。具体来讲，组织专家讲座，开展“诚信教育宣传月”活动，充分营造诚信向上的校园氛围；在选课环节，强化导师引导，力求扩大学生的基础专业能力；规范论文开题、预答辩环节，保证学生参与答辩的毕业论文质量合格。即使毕业论文通过答辩，学生也必须遵照专家意见，进行相应修改。对于毕业论文在教育部抽检过程中不合格者，专业导师将被取消一年的招生资格，而学生将被取消已授予的学位。为提高教学质量，本学科的全部课程接受学校和学院两级教学督导的随机检查和听课，并随时将两级督导的意见反馈给一线教师。</w:t>
      </w:r>
    </w:p>
    <w:p>
      <w:pPr>
        <w:widowControl/>
        <w:adjustRightInd w:val="0"/>
        <w:ind w:firstLine="420" w:firstLineChars="200"/>
        <w:rPr>
          <w:kern w:val="0"/>
          <w:szCs w:val="21"/>
          <w:shd w:val="clear" w:color="auto" w:fill="FFFFFF"/>
        </w:rPr>
      </w:pPr>
      <w:r>
        <w:rPr>
          <w:rFonts w:hint="eastAsia"/>
          <w:kern w:val="0"/>
          <w:szCs w:val="21"/>
          <w:shd w:val="clear" w:color="auto" w:fill="FFFFFF"/>
        </w:rPr>
        <w:t>（二）近年来本学科师德师风建设取得了良好成效，具体表现为如下几点：</w:t>
      </w:r>
    </w:p>
    <w:p>
      <w:pPr>
        <w:pStyle w:val="13"/>
        <w:widowControl/>
        <w:adjustRightInd w:val="0"/>
        <w:ind w:firstLine="527" w:firstLineChars="250"/>
        <w:rPr>
          <w:kern w:val="0"/>
          <w:szCs w:val="21"/>
          <w:shd w:val="clear" w:color="auto" w:fill="FFFFFF"/>
        </w:rPr>
      </w:pPr>
      <w:r>
        <w:rPr>
          <w:rFonts w:hint="eastAsia"/>
          <w:b/>
          <w:kern w:val="0"/>
          <w:szCs w:val="21"/>
          <w:shd w:val="clear" w:color="auto" w:fill="FFFFFF"/>
        </w:rPr>
        <w:t>1、形成了健全的“校院系”三级师德师风建设机制</w:t>
      </w:r>
      <w:r>
        <w:rPr>
          <w:rFonts w:hint="eastAsia"/>
          <w:kern w:val="0"/>
          <w:szCs w:val="21"/>
          <w:shd w:val="clear" w:color="auto" w:fill="FFFFFF"/>
        </w:rPr>
        <w:t>。本学科高度重视师德师风建设工作，深入学习贯彻习近平总书记关于教师队伍建设的重要讲话精神，积极探索，建立了“学校统筹、学院牵头、科系落实、教师自我约束”的工作机制，取得了良好效果。近五年来，本学科教师保持“零投诉”纪录，评教优良率接近100%。本学科教授为本科生上课率达到100%。在指导硕博士学位论文过程中，本学科教师亦全员参与。</w:t>
      </w:r>
    </w:p>
    <w:p>
      <w:pPr>
        <w:widowControl/>
        <w:adjustRightInd w:val="0"/>
        <w:ind w:firstLine="451" w:firstLineChars="214"/>
        <w:rPr>
          <w:kern w:val="0"/>
          <w:szCs w:val="21"/>
          <w:shd w:val="clear" w:color="auto" w:fill="FFFFFF"/>
        </w:rPr>
      </w:pPr>
      <w:r>
        <w:rPr>
          <w:rFonts w:hint="eastAsia"/>
          <w:b/>
          <w:bCs/>
          <w:kern w:val="0"/>
          <w:szCs w:val="21"/>
          <w:shd w:val="clear" w:color="auto" w:fill="FFFFFF"/>
        </w:rPr>
        <w:t>2、建立了一支思想政治素质过硬的</w:t>
      </w:r>
      <w:r>
        <w:rPr>
          <w:rFonts w:hint="eastAsia"/>
          <w:b/>
          <w:kern w:val="0"/>
          <w:szCs w:val="21"/>
          <w:shd w:val="clear" w:color="auto" w:fill="FFFFFF"/>
        </w:rPr>
        <w:t>师资队伍</w:t>
      </w:r>
      <w:r>
        <w:rPr>
          <w:rFonts w:hint="eastAsia"/>
          <w:kern w:val="0"/>
          <w:szCs w:val="21"/>
          <w:shd w:val="clear" w:color="auto" w:fill="FFFFFF"/>
        </w:rPr>
        <w:t>。通过“校院系”三级的过程监督和考核，本学科教师的思想政治素质普遍过硬，自觉将历史唯物主义以及习近平总书记关于历史科学的思想贯穿到课堂教学、论文指导和社团活动中，使学生能够抵制西方意识形态的消极影响。本学科教师积极追求向党组织靠拢，目前党员教师和预备党员教师占专职教师的1/3以上，每年的科研成果和获奖也约有1/3出自党员教师。</w:t>
      </w:r>
    </w:p>
    <w:p>
      <w:pPr>
        <w:widowControl/>
        <w:adjustRightInd w:val="0"/>
        <w:ind w:left="-29" w:leftChars="-14" w:firstLine="422" w:firstLineChars="200"/>
        <w:rPr>
          <w:szCs w:val="21"/>
        </w:rPr>
      </w:pPr>
      <w:r>
        <w:rPr>
          <w:rFonts w:hint="eastAsia"/>
          <w:b/>
          <w:kern w:val="0"/>
          <w:szCs w:val="21"/>
          <w:shd w:val="clear" w:color="auto" w:fill="FFFFFF"/>
        </w:rPr>
        <w:t>3、营造出了学科内部展开师德师风监督的健康氛围</w:t>
      </w:r>
      <w:r>
        <w:rPr>
          <w:rFonts w:hint="eastAsia"/>
          <w:kern w:val="0"/>
          <w:szCs w:val="21"/>
          <w:shd w:val="clear" w:color="auto" w:fill="FFFFFF"/>
        </w:rPr>
        <w:t>。在</w:t>
      </w:r>
      <w:r>
        <w:rPr>
          <w:rFonts w:hint="eastAsia"/>
          <w:szCs w:val="21"/>
        </w:rPr>
        <w:t>师德师风建设小组的组织下，本学科教师坚持学习中宣部、教育部和学校下发的相关文件，对新闻媒体报道的典型案例加以讨论，相互砥砺监督，在学科内部营造出了一种提倡开放讨论、勇于批评与自我批评的健康氛围，提升了师资队伍的整体凝聚力。</w:t>
      </w:r>
    </w:p>
    <w:p>
      <w:pPr>
        <w:widowControl/>
        <w:adjustRightInd w:val="0"/>
        <w:ind w:firstLine="422" w:firstLineChars="200"/>
        <w:rPr>
          <w:kern w:val="0"/>
          <w:szCs w:val="21"/>
          <w:shd w:val="clear" w:color="auto" w:fill="FFFFFF"/>
        </w:rPr>
      </w:pPr>
      <w:r>
        <w:rPr>
          <w:rFonts w:hint="eastAsia"/>
          <w:b/>
          <w:kern w:val="0"/>
          <w:szCs w:val="21"/>
          <w:shd w:val="clear" w:color="auto" w:fill="FFFFFF"/>
        </w:rPr>
        <w:t>4、涌现出了一批模范教师和师德师风模范事例</w:t>
      </w:r>
      <w:r>
        <w:rPr>
          <w:rFonts w:hint="eastAsia"/>
          <w:kern w:val="0"/>
          <w:szCs w:val="21"/>
          <w:shd w:val="clear" w:color="auto" w:fill="FFFFFF"/>
        </w:rPr>
        <w:t>。比如，本学科的</w:t>
      </w:r>
      <w:r>
        <w:rPr>
          <w:kern w:val="0"/>
          <w:szCs w:val="21"/>
          <w:shd w:val="clear" w:color="auto" w:fill="FFFFFF"/>
        </w:rPr>
        <w:t>周毅教授</w:t>
      </w:r>
      <w:r>
        <w:rPr>
          <w:rFonts w:hint="eastAsia"/>
          <w:kern w:val="0"/>
          <w:szCs w:val="21"/>
          <w:shd w:val="clear" w:color="auto" w:fill="FFFFFF"/>
        </w:rPr>
        <w:t>自2010年以来，先后获得“</w:t>
      </w:r>
      <w:r>
        <w:rPr>
          <w:kern w:val="0"/>
          <w:szCs w:val="21"/>
          <w:shd w:val="clear" w:color="auto" w:fill="FFFFFF"/>
        </w:rPr>
        <w:t>四川大学2009-2010年度优秀教师奖</w:t>
      </w:r>
      <w:r>
        <w:rPr>
          <w:rFonts w:hint="eastAsia"/>
          <w:kern w:val="0"/>
          <w:szCs w:val="21"/>
          <w:shd w:val="clear" w:color="auto" w:fill="FFFFFF"/>
        </w:rPr>
        <w:t>”，“</w:t>
      </w:r>
      <w:r>
        <w:rPr>
          <w:kern w:val="0"/>
          <w:szCs w:val="21"/>
          <w:shd w:val="clear" w:color="auto" w:fill="FFFFFF"/>
        </w:rPr>
        <w:t>四川大学2010年优秀教师奖</w:t>
      </w:r>
      <w:r>
        <w:rPr>
          <w:rFonts w:hint="eastAsia"/>
          <w:kern w:val="0"/>
          <w:szCs w:val="21"/>
          <w:shd w:val="clear" w:color="auto" w:fill="FFFFFF"/>
        </w:rPr>
        <w:t>”，“四川大学首届星火校友奖教金”（2015），“中国大学慕课年度新锐奖”（2017）等荣誉称号，同时其《中华传统文化与人生修养》2017年获教育部慕课建设项目，《美国文化》获批为“教育部首批国家级精品慕课”。</w:t>
      </w:r>
    </w:p>
    <w:p>
      <w:pPr>
        <w:widowControl/>
        <w:ind w:firstLine="420" w:firstLineChars="200"/>
        <w:textAlignment w:val="baseline"/>
        <w:rPr>
          <w:bCs/>
          <w:szCs w:val="21"/>
        </w:rPr>
      </w:pPr>
    </w:p>
    <w:p>
      <w:pPr>
        <w:widowControl/>
        <w:ind w:firstLine="640" w:firstLineChars="200"/>
        <w:textAlignment w:val="baseline"/>
        <w:rPr>
          <w:rFonts w:ascii="黑体" w:hAnsi="黑体" w:eastAsia="黑体" w:cs="黑体"/>
          <w:sz w:val="32"/>
        </w:rPr>
      </w:pPr>
      <w:r>
        <w:rPr>
          <w:rFonts w:hint="eastAsia" w:ascii="黑体" w:hAnsi="黑体" w:eastAsia="黑体" w:cs="黑体"/>
          <w:sz w:val="32"/>
        </w:rPr>
        <w:t>四、研究生教育改革情况</w:t>
      </w:r>
    </w:p>
    <w:p>
      <w:pPr>
        <w:ind w:firstLine="420" w:firstLineChars="200"/>
        <w:jc w:val="left"/>
        <w:rPr>
          <w:szCs w:val="21"/>
        </w:rPr>
      </w:pPr>
      <w:r>
        <w:rPr>
          <w:rFonts w:hint="eastAsia"/>
          <w:szCs w:val="21"/>
        </w:rPr>
        <w:t>本学科一向重视研究生教育改革。近些年，主要在世界史研究生教学方面以及学生赴境外参加学术交流活动等方面进行了一些改革：</w:t>
      </w:r>
    </w:p>
    <w:p>
      <w:pPr>
        <w:ind w:firstLine="422" w:firstLineChars="200"/>
        <w:jc w:val="left"/>
        <w:rPr>
          <w:szCs w:val="21"/>
        </w:rPr>
      </w:pPr>
      <w:r>
        <w:rPr>
          <w:rFonts w:hint="eastAsia"/>
          <w:b/>
          <w:szCs w:val="21"/>
        </w:rPr>
        <w:t>1、积极申报研究生教改项目</w:t>
      </w:r>
      <w:r>
        <w:rPr>
          <w:rFonts w:hint="eastAsia"/>
          <w:szCs w:val="21"/>
        </w:rPr>
        <w:t>。其中《西方史学理论》课程获校级课程思政项目资助（2020），《儿童史专题：童年与现代性》（2020）及《东西方文化交流史专题研究》（2021）两门课程获校级高水平国际化课程项目资助，《西方史学理论读本》获校级研究生精品教材项目资助（2021）。</w:t>
      </w:r>
    </w:p>
    <w:p>
      <w:pPr>
        <w:ind w:firstLine="422" w:firstLineChars="200"/>
        <w:jc w:val="left"/>
        <w:rPr>
          <w:szCs w:val="21"/>
        </w:rPr>
      </w:pPr>
      <w:r>
        <w:rPr>
          <w:rFonts w:hint="eastAsia"/>
          <w:b/>
          <w:szCs w:val="21"/>
        </w:rPr>
        <w:t>2、派遣博士研究生出国交流</w:t>
      </w:r>
      <w:r>
        <w:rPr>
          <w:rFonts w:hint="eastAsia"/>
          <w:szCs w:val="21"/>
        </w:rPr>
        <w:t>。原则上要求博士生借助国家留基委项目，赴所研究国家交流访学一年，搜集原始材料并进行学术交流。近年来，数名博士生被派往英国剑桥大学、美国威斯康星大学等国外知名高校学习。</w:t>
      </w:r>
    </w:p>
    <w:p>
      <w:pPr>
        <w:ind w:firstLine="422" w:firstLineChars="200"/>
        <w:jc w:val="left"/>
        <w:rPr>
          <w:szCs w:val="21"/>
        </w:rPr>
      </w:pPr>
      <w:r>
        <w:rPr>
          <w:rFonts w:hint="eastAsia"/>
          <w:b/>
          <w:szCs w:val="21"/>
        </w:rPr>
        <w:t>3、与国外高校建立学生互派机制</w:t>
      </w:r>
      <w:r>
        <w:rPr>
          <w:rFonts w:hint="eastAsia"/>
          <w:szCs w:val="21"/>
        </w:rPr>
        <w:t>。本学科目前正与欧美和东南亚一些高校联系沟通，有望建立长期性的学生互派访学机制。</w:t>
      </w:r>
    </w:p>
    <w:p>
      <w:pPr>
        <w:ind w:firstLine="420" w:firstLineChars="200"/>
        <w:jc w:val="left"/>
        <w:rPr>
          <w:szCs w:val="21"/>
        </w:rPr>
      </w:pPr>
    </w:p>
    <w:p>
      <w:pPr>
        <w:widowControl/>
        <w:snapToGrid w:val="0"/>
        <w:spacing w:line="560" w:lineRule="exact"/>
        <w:ind w:firstLine="640" w:firstLineChars="200"/>
        <w:textAlignment w:val="baseline"/>
        <w:rPr>
          <w:rFonts w:ascii="黑体" w:hAnsi="黑体" w:eastAsia="黑体" w:cs="黑体"/>
          <w:sz w:val="32"/>
        </w:rPr>
      </w:pPr>
      <w:r>
        <w:rPr>
          <w:rFonts w:hint="eastAsia" w:ascii="黑体" w:hAnsi="黑体" w:eastAsia="黑体" w:cs="黑体"/>
          <w:sz w:val="32"/>
        </w:rPr>
        <w:t>五、教育质量评估与分析</w:t>
      </w:r>
    </w:p>
    <w:p>
      <w:pPr>
        <w:ind w:firstLine="420" w:firstLineChars="200"/>
        <w:jc w:val="left"/>
        <w:rPr>
          <w:szCs w:val="21"/>
        </w:rPr>
      </w:pPr>
      <w:r>
        <w:rPr>
          <w:rFonts w:hint="eastAsia"/>
          <w:szCs w:val="21"/>
        </w:rPr>
        <w:t>本单位为顺利开展自我评估工作，成立了“自我评估学科领导小组”，由历史文化学院院长担任组长，由分管副院长、学科带头人、世界史系主任和副系主任担任副组长，世界史系全体教师作为组员开展评估工作。</w:t>
      </w:r>
    </w:p>
    <w:p>
      <w:pPr>
        <w:ind w:firstLine="420" w:firstLineChars="200"/>
        <w:jc w:val="left"/>
        <w:rPr>
          <w:szCs w:val="21"/>
        </w:rPr>
      </w:pPr>
      <w:r>
        <w:rPr>
          <w:rFonts w:hint="eastAsia"/>
          <w:szCs w:val="21"/>
        </w:rPr>
        <w:t>在“自我评估学科领导小组”的安排下，世界史系首先开展了自我评估。为此，本学科先后召开自我评估会议多次，分别就学科现状、与其他高校同类学科的对比、本学科目前存在的问题、学科未来发展目标和计划进行探讨，取得了重要收获。</w:t>
      </w:r>
    </w:p>
    <w:p>
      <w:pPr>
        <w:ind w:firstLine="420" w:firstLineChars="200"/>
        <w:jc w:val="left"/>
        <w:rPr>
          <w:szCs w:val="21"/>
        </w:rPr>
      </w:pPr>
      <w:r>
        <w:rPr>
          <w:rFonts w:hint="eastAsia"/>
          <w:szCs w:val="21"/>
        </w:rPr>
        <w:t>“自我评估学科领导小组”以及相关专家一致认为：世界史学科是四川大学的传统优势学科，也是重点建设的特色学科。四川大学世界史一级博士学位授权点，培养方向明确，特色鲜明；学位点师资队伍稳定，年龄、学历、职称结构合理；学术成果丰硕，在人才培养和社会服务方面成绩突出。</w:t>
      </w:r>
    </w:p>
    <w:p>
      <w:pPr>
        <w:widowControl/>
        <w:ind w:firstLine="480" w:firstLineChars="200"/>
        <w:textAlignment w:val="baseline"/>
        <w:rPr>
          <w:sz w:val="24"/>
        </w:rPr>
      </w:pPr>
    </w:p>
    <w:p>
      <w:pPr>
        <w:widowControl/>
        <w:ind w:firstLine="640" w:firstLineChars="200"/>
        <w:textAlignment w:val="baseline"/>
        <w:rPr>
          <w:rFonts w:ascii="黑体" w:hAnsi="黑体" w:eastAsia="黑体" w:cs="黑体"/>
          <w:sz w:val="32"/>
        </w:rPr>
      </w:pPr>
      <w:r>
        <w:rPr>
          <w:rFonts w:hint="eastAsia" w:ascii="黑体" w:hAnsi="黑体" w:eastAsia="黑体" w:cs="黑体"/>
          <w:sz w:val="32"/>
        </w:rPr>
        <w:t>六、持续改进计划</w:t>
      </w:r>
    </w:p>
    <w:p>
      <w:pPr>
        <w:ind w:firstLine="420" w:firstLineChars="200"/>
        <w:rPr>
          <w:rFonts w:ascii="宋体" w:hAnsi="宋体" w:cs="宋体"/>
          <w:szCs w:val="21"/>
        </w:rPr>
      </w:pPr>
      <w:r>
        <w:rPr>
          <w:rFonts w:hint="eastAsia" w:ascii="宋体" w:hAnsi="宋体" w:cs="宋体"/>
          <w:szCs w:val="21"/>
        </w:rPr>
        <w:t>尽管本学科在制度建设和教学实践等方面取得了一定的成绩，但我们必须清醒地认识到，本学科尚存在一些问题，急需进行大刀阔斧的改革。</w:t>
      </w:r>
    </w:p>
    <w:p>
      <w:pPr>
        <w:ind w:firstLine="422" w:firstLineChars="200"/>
        <w:rPr>
          <w:rFonts w:ascii="宋体"/>
          <w:szCs w:val="21"/>
        </w:rPr>
      </w:pPr>
      <w:r>
        <w:rPr>
          <w:rFonts w:hint="eastAsia" w:ascii="宋体" w:hAnsi="宋体"/>
          <w:b/>
          <w:bCs/>
          <w:kern w:val="0"/>
          <w:szCs w:val="21"/>
        </w:rPr>
        <w:t>1、强化师资队伍建设</w:t>
      </w:r>
      <w:r>
        <w:rPr>
          <w:rFonts w:hint="eastAsia" w:ascii="宋体" w:hAnsi="宋体"/>
          <w:bCs/>
          <w:kern w:val="0"/>
          <w:szCs w:val="21"/>
        </w:rPr>
        <w:t>。世界史成为一级学科之后，各高校的世界史学科都面临着比较严峻的师资队伍问题，川大世界史学科也不例外。</w:t>
      </w:r>
      <w:r>
        <w:rPr>
          <w:rFonts w:hint="eastAsia" w:ascii="宋体"/>
          <w:szCs w:val="21"/>
        </w:rPr>
        <w:t>为此，在一个较长的时期内，本学科需要坚持内培外引的原则，强化师资队伍建设的力度。首先，要督促教师多出成果，促使现有副高职称人员在3-5年内都能晋升正高职称，或遴选为博士生导师；其次，要持续引进专职博士后，确保青年人才队伍不断档，同时，要借助学校和地方的各项人才引进政策，引进特聘副研究员、特聘研究员、全职外籍教师和外籍高端人才。力争在2025年，本学科的师资总量达到35人，其中教授不少于12人，博士生导师不少于8人。最后，要根据本学科的发展方向，着力打造具有学术潜力的学术领军人物，扩大本学科在国内外学术界的影响力。</w:t>
      </w:r>
    </w:p>
    <w:p>
      <w:pPr>
        <w:ind w:firstLine="422" w:firstLineChars="200"/>
        <w:rPr>
          <w:rFonts w:ascii="宋体"/>
          <w:b/>
          <w:szCs w:val="21"/>
        </w:rPr>
      </w:pPr>
      <w:r>
        <w:rPr>
          <w:rFonts w:hint="eastAsia" w:ascii="宋体"/>
          <w:b/>
          <w:szCs w:val="21"/>
        </w:rPr>
        <w:t>2、提升人均科研产出量</w:t>
      </w:r>
      <w:r>
        <w:rPr>
          <w:rFonts w:hint="eastAsia" w:ascii="宋体"/>
          <w:szCs w:val="21"/>
        </w:rPr>
        <w:t>。在面对校院两级的年度工作考核时，本学科教师要认识到基本的考核对学科建设和发展的意义。同时，本学科需要定期组织学术性的沙龙、工作坊和会议，来促进同行交流，引导中青年教师撰写、打磨和发表论文，以提高科研产出量。</w:t>
      </w:r>
    </w:p>
    <w:p>
      <w:pPr>
        <w:ind w:firstLine="422" w:firstLineChars="200"/>
        <w:rPr>
          <w:rFonts w:ascii="宋体" w:hAnsi="宋体"/>
          <w:kern w:val="0"/>
          <w:szCs w:val="21"/>
        </w:rPr>
      </w:pPr>
      <w:r>
        <w:rPr>
          <w:rFonts w:hint="eastAsia" w:ascii="宋体" w:hAnsi="宋体"/>
          <w:b/>
          <w:bCs/>
          <w:kern w:val="0"/>
          <w:szCs w:val="21"/>
        </w:rPr>
        <w:t>3、改革世界史教学和培养模式</w:t>
      </w:r>
      <w:r>
        <w:rPr>
          <w:rFonts w:hint="eastAsia" w:ascii="宋体" w:hAnsi="宋体"/>
          <w:kern w:val="0"/>
          <w:szCs w:val="21"/>
        </w:rPr>
        <w:t>。</w:t>
      </w:r>
      <w:r>
        <w:rPr>
          <w:rFonts w:hint="eastAsia" w:ascii="宋体"/>
          <w:szCs w:val="21"/>
        </w:rPr>
        <w:t>世界史升格为一级学科，很大程度上源于世界史学科的特殊性。与中国史和考古学等毗邻学科相比，世界史学科要求学生具有良好的外语水平。有鉴于此，为了学科建设和发展的需要，本学科还要继续强化第二外语教学，同时，要让学生多接触外文史料、多了解国外相关研究领域的学术动态。</w:t>
      </w:r>
      <w:r>
        <w:rPr>
          <w:rFonts w:hint="eastAsia" w:ascii="宋体" w:hAnsi="宋体"/>
          <w:kern w:val="0"/>
          <w:szCs w:val="21"/>
        </w:rPr>
        <w:t>基于第一、第二外语的学习，开设外文史料阅读课程，让学生更多接触一手史料，为相关研究打下坚实基础。开设学术前沿课程，让学生充分了解相关研究领域最新的动态，为论文的选题和研究提供科学的依据。</w:t>
      </w:r>
    </w:p>
    <w:p>
      <w:pPr>
        <w:ind w:firstLine="422" w:firstLineChars="200"/>
        <w:rPr>
          <w:rFonts w:ascii="宋体"/>
          <w:b/>
          <w:bCs/>
          <w:szCs w:val="21"/>
        </w:rPr>
      </w:pPr>
      <w:r>
        <w:rPr>
          <w:rFonts w:hint="eastAsia" w:ascii="宋体"/>
          <w:b/>
          <w:bCs/>
          <w:szCs w:val="21"/>
        </w:rPr>
        <w:t>4、改善国际交流合作环境</w:t>
      </w:r>
      <w:r>
        <w:rPr>
          <w:rFonts w:hint="eastAsia" w:ascii="宋体"/>
          <w:bCs/>
          <w:szCs w:val="21"/>
        </w:rPr>
        <w:t>。</w:t>
      </w:r>
      <w:r>
        <w:rPr>
          <w:rFonts w:hint="eastAsia" w:ascii="宋体"/>
          <w:szCs w:val="21"/>
        </w:rPr>
        <w:t>在现有基础上，加强与欧美和东南亚大学之间的交流与合作，争取在未来3-5年与至少三所欧美高校签署合作协议；同时，争取引进1-2位外籍教师，提高本学科的国际化办学水平。每年举办高水平国际性学术会议1-2次；每年资助世界史专业教师2-3人去海外知名大学或研究机构研修、查阅资料，时间3</w:t>
      </w:r>
      <w:r>
        <w:rPr>
          <w:rFonts w:ascii="宋体"/>
          <w:szCs w:val="21"/>
        </w:rPr>
        <w:t>-1</w:t>
      </w:r>
      <w:r>
        <w:rPr>
          <w:rFonts w:hint="eastAsia" w:ascii="宋体"/>
          <w:szCs w:val="21"/>
        </w:rPr>
        <w:t>2个月不等；每年邀请海外著名学者1</w:t>
      </w:r>
      <w:r>
        <w:rPr>
          <w:rFonts w:ascii="宋体"/>
          <w:szCs w:val="21"/>
        </w:rPr>
        <w:t>-</w:t>
      </w:r>
      <w:r>
        <w:rPr>
          <w:rFonts w:hint="eastAsia" w:ascii="宋体"/>
          <w:szCs w:val="21"/>
        </w:rPr>
        <w:t>2人来本系进行为期1个月的合作研究。利用国家建设高水平大学公派研究生项目，促成更多学生出国攻读学位。鼓励研究生出国研修，为其提供短期生活费和往返路费。响应国家“一带一路”的政策，招收海外留学生，提高本学科在国外的影响。</w:t>
      </w:r>
    </w:p>
    <w:p>
      <w:pPr>
        <w:ind w:firstLine="422" w:firstLineChars="200"/>
        <w:rPr>
          <w:rFonts w:ascii="宋体"/>
          <w:b/>
          <w:bCs/>
          <w:szCs w:val="21"/>
        </w:rPr>
      </w:pPr>
      <w:r>
        <w:rPr>
          <w:rFonts w:hint="eastAsia" w:ascii="宋体"/>
          <w:b/>
          <w:bCs/>
          <w:szCs w:val="21"/>
        </w:rPr>
        <w:t>5、重视就业的质量</w:t>
      </w:r>
      <w:r>
        <w:rPr>
          <w:rFonts w:hint="eastAsia" w:ascii="宋体"/>
          <w:bCs/>
          <w:szCs w:val="21"/>
        </w:rPr>
        <w:t>。</w:t>
      </w:r>
      <w:r>
        <w:rPr>
          <w:rFonts w:hint="eastAsia" w:ascii="宋体"/>
          <w:szCs w:val="21"/>
        </w:rPr>
        <w:t>就业层次的高低直接源于培养质量的优劣，因此，本学科始终将研究生培养质量的提升作为学科建设的首要任务，全面按照人才培养质量标准和培养方案，管控整个培养过程。在就业方面，需要实施“校院系”三级联动，主动为学生提供就业信息和指导，研究生导师除了学业指导之外，也需要进行就业帮扶。</w:t>
      </w:r>
    </w:p>
    <w:p>
      <w:pPr>
        <w:widowControl/>
        <w:ind w:firstLine="420" w:firstLineChars="200"/>
        <w:textAlignment w:val="baseline"/>
        <w:rPr>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widowControl/>
      <w:textAlignment w:val="baseline"/>
      <w:rPr>
        <w:rStyle w:val="12"/>
        <w:rFonts w:ascii="Times New Roman" w:hAnsi="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3D"/>
    <w:rsid w:val="000000A8"/>
    <w:rsid w:val="0000181E"/>
    <w:rsid w:val="000035FB"/>
    <w:rsid w:val="00003650"/>
    <w:rsid w:val="00004579"/>
    <w:rsid w:val="00007289"/>
    <w:rsid w:val="00007E58"/>
    <w:rsid w:val="0001232B"/>
    <w:rsid w:val="00012559"/>
    <w:rsid w:val="00012DA8"/>
    <w:rsid w:val="00013E7D"/>
    <w:rsid w:val="00014CD7"/>
    <w:rsid w:val="00016C0F"/>
    <w:rsid w:val="00020EA0"/>
    <w:rsid w:val="000266FD"/>
    <w:rsid w:val="000317C6"/>
    <w:rsid w:val="00031DA2"/>
    <w:rsid w:val="00033F2D"/>
    <w:rsid w:val="000342AF"/>
    <w:rsid w:val="00035460"/>
    <w:rsid w:val="00036641"/>
    <w:rsid w:val="00036769"/>
    <w:rsid w:val="00037665"/>
    <w:rsid w:val="00040ABC"/>
    <w:rsid w:val="000462AC"/>
    <w:rsid w:val="00046C0F"/>
    <w:rsid w:val="00046C18"/>
    <w:rsid w:val="00052152"/>
    <w:rsid w:val="00052243"/>
    <w:rsid w:val="000546C0"/>
    <w:rsid w:val="00054755"/>
    <w:rsid w:val="00054945"/>
    <w:rsid w:val="0005695D"/>
    <w:rsid w:val="00057985"/>
    <w:rsid w:val="0006307E"/>
    <w:rsid w:val="000645DA"/>
    <w:rsid w:val="00067362"/>
    <w:rsid w:val="00067622"/>
    <w:rsid w:val="00067701"/>
    <w:rsid w:val="00071639"/>
    <w:rsid w:val="00076DEF"/>
    <w:rsid w:val="00076EAA"/>
    <w:rsid w:val="000770B0"/>
    <w:rsid w:val="00080DCA"/>
    <w:rsid w:val="00080E5F"/>
    <w:rsid w:val="000822B1"/>
    <w:rsid w:val="00083A55"/>
    <w:rsid w:val="0008643E"/>
    <w:rsid w:val="00086D94"/>
    <w:rsid w:val="00087884"/>
    <w:rsid w:val="000910FC"/>
    <w:rsid w:val="000917ED"/>
    <w:rsid w:val="00091A79"/>
    <w:rsid w:val="000927D7"/>
    <w:rsid w:val="00095F3A"/>
    <w:rsid w:val="000A119E"/>
    <w:rsid w:val="000A14F6"/>
    <w:rsid w:val="000A393E"/>
    <w:rsid w:val="000A76C2"/>
    <w:rsid w:val="000B0650"/>
    <w:rsid w:val="000B1A4F"/>
    <w:rsid w:val="000B1BDB"/>
    <w:rsid w:val="000B2561"/>
    <w:rsid w:val="000B52C9"/>
    <w:rsid w:val="000B6DA6"/>
    <w:rsid w:val="000B7FDB"/>
    <w:rsid w:val="000C1497"/>
    <w:rsid w:val="000C28B4"/>
    <w:rsid w:val="000C5302"/>
    <w:rsid w:val="000D2C78"/>
    <w:rsid w:val="000D3438"/>
    <w:rsid w:val="000D3CB6"/>
    <w:rsid w:val="000E0952"/>
    <w:rsid w:val="000E117A"/>
    <w:rsid w:val="000E22DC"/>
    <w:rsid w:val="000E3121"/>
    <w:rsid w:val="000E38C2"/>
    <w:rsid w:val="000E45D5"/>
    <w:rsid w:val="000F0FB2"/>
    <w:rsid w:val="000F34D0"/>
    <w:rsid w:val="000F3EEB"/>
    <w:rsid w:val="00102B86"/>
    <w:rsid w:val="001049BC"/>
    <w:rsid w:val="00104D00"/>
    <w:rsid w:val="0011271F"/>
    <w:rsid w:val="001156A5"/>
    <w:rsid w:val="00116996"/>
    <w:rsid w:val="00116D3B"/>
    <w:rsid w:val="001170CE"/>
    <w:rsid w:val="00117667"/>
    <w:rsid w:val="001230A9"/>
    <w:rsid w:val="00123B62"/>
    <w:rsid w:val="00126CB3"/>
    <w:rsid w:val="00126FF4"/>
    <w:rsid w:val="001270FC"/>
    <w:rsid w:val="0012731F"/>
    <w:rsid w:val="00130EBA"/>
    <w:rsid w:val="001312C7"/>
    <w:rsid w:val="00134534"/>
    <w:rsid w:val="00136438"/>
    <w:rsid w:val="00140563"/>
    <w:rsid w:val="00141360"/>
    <w:rsid w:val="00141753"/>
    <w:rsid w:val="0014233C"/>
    <w:rsid w:val="00142969"/>
    <w:rsid w:val="00146ED7"/>
    <w:rsid w:val="00151638"/>
    <w:rsid w:val="00151C51"/>
    <w:rsid w:val="001521E9"/>
    <w:rsid w:val="001561E9"/>
    <w:rsid w:val="00156811"/>
    <w:rsid w:val="00156DB8"/>
    <w:rsid w:val="001671CE"/>
    <w:rsid w:val="0017144E"/>
    <w:rsid w:val="00172E45"/>
    <w:rsid w:val="001730C8"/>
    <w:rsid w:val="00173A70"/>
    <w:rsid w:val="001745C1"/>
    <w:rsid w:val="001758CC"/>
    <w:rsid w:val="00175B89"/>
    <w:rsid w:val="001771BD"/>
    <w:rsid w:val="0018168A"/>
    <w:rsid w:val="00183E02"/>
    <w:rsid w:val="0018465E"/>
    <w:rsid w:val="00185C8A"/>
    <w:rsid w:val="00186E80"/>
    <w:rsid w:val="00186F4D"/>
    <w:rsid w:val="00187289"/>
    <w:rsid w:val="00191A15"/>
    <w:rsid w:val="001927BA"/>
    <w:rsid w:val="0019324A"/>
    <w:rsid w:val="0019327A"/>
    <w:rsid w:val="00193EC2"/>
    <w:rsid w:val="00197694"/>
    <w:rsid w:val="001A21FC"/>
    <w:rsid w:val="001A2E5E"/>
    <w:rsid w:val="001A3598"/>
    <w:rsid w:val="001A36D8"/>
    <w:rsid w:val="001A521D"/>
    <w:rsid w:val="001A56F4"/>
    <w:rsid w:val="001A68A2"/>
    <w:rsid w:val="001A7E62"/>
    <w:rsid w:val="001B1176"/>
    <w:rsid w:val="001C1A27"/>
    <w:rsid w:val="001C21FD"/>
    <w:rsid w:val="001C2911"/>
    <w:rsid w:val="001C49D0"/>
    <w:rsid w:val="001C5FED"/>
    <w:rsid w:val="001C6584"/>
    <w:rsid w:val="001D08ED"/>
    <w:rsid w:val="001D0F12"/>
    <w:rsid w:val="001D10DB"/>
    <w:rsid w:val="001D2B40"/>
    <w:rsid w:val="001D52EE"/>
    <w:rsid w:val="001D5415"/>
    <w:rsid w:val="001D56E3"/>
    <w:rsid w:val="001D749C"/>
    <w:rsid w:val="001D7C70"/>
    <w:rsid w:val="001E02F6"/>
    <w:rsid w:val="001E255C"/>
    <w:rsid w:val="001E45A5"/>
    <w:rsid w:val="001E6F99"/>
    <w:rsid w:val="001E78E2"/>
    <w:rsid w:val="001F12F0"/>
    <w:rsid w:val="001F1C6C"/>
    <w:rsid w:val="001F59D3"/>
    <w:rsid w:val="00201789"/>
    <w:rsid w:val="0020230B"/>
    <w:rsid w:val="00203845"/>
    <w:rsid w:val="00204A7B"/>
    <w:rsid w:val="00205067"/>
    <w:rsid w:val="00210B62"/>
    <w:rsid w:val="00210B6C"/>
    <w:rsid w:val="0021231F"/>
    <w:rsid w:val="00212A42"/>
    <w:rsid w:val="0021426E"/>
    <w:rsid w:val="00214565"/>
    <w:rsid w:val="002161F2"/>
    <w:rsid w:val="00216846"/>
    <w:rsid w:val="00216D22"/>
    <w:rsid w:val="002177CA"/>
    <w:rsid w:val="00217F06"/>
    <w:rsid w:val="00221B7E"/>
    <w:rsid w:val="00222341"/>
    <w:rsid w:val="00223E6A"/>
    <w:rsid w:val="00224623"/>
    <w:rsid w:val="0022475C"/>
    <w:rsid w:val="00225D33"/>
    <w:rsid w:val="002261F6"/>
    <w:rsid w:val="00227126"/>
    <w:rsid w:val="00227DB4"/>
    <w:rsid w:val="002307AE"/>
    <w:rsid w:val="0023132A"/>
    <w:rsid w:val="00233AB5"/>
    <w:rsid w:val="00234C11"/>
    <w:rsid w:val="0023524D"/>
    <w:rsid w:val="00236DD5"/>
    <w:rsid w:val="00237809"/>
    <w:rsid w:val="002411FB"/>
    <w:rsid w:val="00241B43"/>
    <w:rsid w:val="00242F80"/>
    <w:rsid w:val="00243A00"/>
    <w:rsid w:val="00246255"/>
    <w:rsid w:val="00246494"/>
    <w:rsid w:val="00250663"/>
    <w:rsid w:val="002511B4"/>
    <w:rsid w:val="00252C07"/>
    <w:rsid w:val="002538E8"/>
    <w:rsid w:val="00254140"/>
    <w:rsid w:val="0025427E"/>
    <w:rsid w:val="00257D11"/>
    <w:rsid w:val="00260CCA"/>
    <w:rsid w:val="002624D9"/>
    <w:rsid w:val="00263467"/>
    <w:rsid w:val="00270B04"/>
    <w:rsid w:val="00271266"/>
    <w:rsid w:val="002716BF"/>
    <w:rsid w:val="00274D8A"/>
    <w:rsid w:val="0027617C"/>
    <w:rsid w:val="0027757B"/>
    <w:rsid w:val="002777CB"/>
    <w:rsid w:val="002805A9"/>
    <w:rsid w:val="002838A0"/>
    <w:rsid w:val="0028729F"/>
    <w:rsid w:val="00293E83"/>
    <w:rsid w:val="00295EC4"/>
    <w:rsid w:val="00295F1A"/>
    <w:rsid w:val="002A08A7"/>
    <w:rsid w:val="002A20A6"/>
    <w:rsid w:val="002A4F06"/>
    <w:rsid w:val="002A70DA"/>
    <w:rsid w:val="002A7964"/>
    <w:rsid w:val="002B06C7"/>
    <w:rsid w:val="002B0C91"/>
    <w:rsid w:val="002B2209"/>
    <w:rsid w:val="002B4252"/>
    <w:rsid w:val="002B4453"/>
    <w:rsid w:val="002B4472"/>
    <w:rsid w:val="002B53D3"/>
    <w:rsid w:val="002B639A"/>
    <w:rsid w:val="002C0B31"/>
    <w:rsid w:val="002C2B5D"/>
    <w:rsid w:val="002C31D7"/>
    <w:rsid w:val="002C3A25"/>
    <w:rsid w:val="002C406B"/>
    <w:rsid w:val="002C60ED"/>
    <w:rsid w:val="002C66A6"/>
    <w:rsid w:val="002D0D63"/>
    <w:rsid w:val="002D0D8D"/>
    <w:rsid w:val="002D1BAF"/>
    <w:rsid w:val="002D4C37"/>
    <w:rsid w:val="002D502D"/>
    <w:rsid w:val="002D6932"/>
    <w:rsid w:val="002E06A6"/>
    <w:rsid w:val="002E174F"/>
    <w:rsid w:val="002E4440"/>
    <w:rsid w:val="002E4C92"/>
    <w:rsid w:val="002E5B1D"/>
    <w:rsid w:val="002E66EC"/>
    <w:rsid w:val="002E7CE3"/>
    <w:rsid w:val="002F0451"/>
    <w:rsid w:val="002F0B30"/>
    <w:rsid w:val="002F37B9"/>
    <w:rsid w:val="002F464C"/>
    <w:rsid w:val="003019E7"/>
    <w:rsid w:val="003066B9"/>
    <w:rsid w:val="00306A0A"/>
    <w:rsid w:val="003114FB"/>
    <w:rsid w:val="00311C3D"/>
    <w:rsid w:val="00312A0C"/>
    <w:rsid w:val="00315A16"/>
    <w:rsid w:val="00316EFD"/>
    <w:rsid w:val="003171C6"/>
    <w:rsid w:val="00320A34"/>
    <w:rsid w:val="003273E6"/>
    <w:rsid w:val="003274BC"/>
    <w:rsid w:val="00327865"/>
    <w:rsid w:val="0033281C"/>
    <w:rsid w:val="003329B7"/>
    <w:rsid w:val="00335775"/>
    <w:rsid w:val="00342104"/>
    <w:rsid w:val="003440C8"/>
    <w:rsid w:val="0034433D"/>
    <w:rsid w:val="00344393"/>
    <w:rsid w:val="00344559"/>
    <w:rsid w:val="00344F02"/>
    <w:rsid w:val="00345285"/>
    <w:rsid w:val="00345EC1"/>
    <w:rsid w:val="00346FE4"/>
    <w:rsid w:val="00347051"/>
    <w:rsid w:val="00352932"/>
    <w:rsid w:val="00352B66"/>
    <w:rsid w:val="00352E5F"/>
    <w:rsid w:val="00364136"/>
    <w:rsid w:val="00364211"/>
    <w:rsid w:val="00364A62"/>
    <w:rsid w:val="00364F9F"/>
    <w:rsid w:val="0036675D"/>
    <w:rsid w:val="003702D3"/>
    <w:rsid w:val="003727C0"/>
    <w:rsid w:val="003733D2"/>
    <w:rsid w:val="00373B0D"/>
    <w:rsid w:val="00373E3A"/>
    <w:rsid w:val="00374420"/>
    <w:rsid w:val="00376DAA"/>
    <w:rsid w:val="00377812"/>
    <w:rsid w:val="00377DB6"/>
    <w:rsid w:val="00380037"/>
    <w:rsid w:val="003803BF"/>
    <w:rsid w:val="003804FB"/>
    <w:rsid w:val="00380773"/>
    <w:rsid w:val="00380A44"/>
    <w:rsid w:val="00381566"/>
    <w:rsid w:val="00381581"/>
    <w:rsid w:val="003828C2"/>
    <w:rsid w:val="00382F10"/>
    <w:rsid w:val="00384894"/>
    <w:rsid w:val="003860C8"/>
    <w:rsid w:val="003867A0"/>
    <w:rsid w:val="00386B56"/>
    <w:rsid w:val="003878C0"/>
    <w:rsid w:val="00391140"/>
    <w:rsid w:val="003924BF"/>
    <w:rsid w:val="00392EE5"/>
    <w:rsid w:val="00394425"/>
    <w:rsid w:val="003949AC"/>
    <w:rsid w:val="00394E79"/>
    <w:rsid w:val="00394FDB"/>
    <w:rsid w:val="0039579C"/>
    <w:rsid w:val="003A0400"/>
    <w:rsid w:val="003A0C36"/>
    <w:rsid w:val="003A1AE9"/>
    <w:rsid w:val="003A4EA7"/>
    <w:rsid w:val="003A5E6A"/>
    <w:rsid w:val="003A7006"/>
    <w:rsid w:val="003A723F"/>
    <w:rsid w:val="003B092D"/>
    <w:rsid w:val="003B208C"/>
    <w:rsid w:val="003B2130"/>
    <w:rsid w:val="003C1570"/>
    <w:rsid w:val="003C1CC8"/>
    <w:rsid w:val="003C3561"/>
    <w:rsid w:val="003C506E"/>
    <w:rsid w:val="003C641C"/>
    <w:rsid w:val="003C6592"/>
    <w:rsid w:val="003C71EA"/>
    <w:rsid w:val="003D4169"/>
    <w:rsid w:val="003D4ABE"/>
    <w:rsid w:val="003D4B59"/>
    <w:rsid w:val="003D50AE"/>
    <w:rsid w:val="003D552B"/>
    <w:rsid w:val="003D5C6E"/>
    <w:rsid w:val="003D6246"/>
    <w:rsid w:val="003D6CEA"/>
    <w:rsid w:val="003D7C76"/>
    <w:rsid w:val="003E01AC"/>
    <w:rsid w:val="003E4D0B"/>
    <w:rsid w:val="003E54B1"/>
    <w:rsid w:val="003E5F13"/>
    <w:rsid w:val="003E624E"/>
    <w:rsid w:val="003E6289"/>
    <w:rsid w:val="003E698A"/>
    <w:rsid w:val="003F16D6"/>
    <w:rsid w:val="003F2777"/>
    <w:rsid w:val="003F3134"/>
    <w:rsid w:val="003F314C"/>
    <w:rsid w:val="003F5FA5"/>
    <w:rsid w:val="003F7C26"/>
    <w:rsid w:val="004000D1"/>
    <w:rsid w:val="0040047A"/>
    <w:rsid w:val="0040054F"/>
    <w:rsid w:val="00402759"/>
    <w:rsid w:val="004045F2"/>
    <w:rsid w:val="00405FDE"/>
    <w:rsid w:val="004105B8"/>
    <w:rsid w:val="00414F82"/>
    <w:rsid w:val="00415261"/>
    <w:rsid w:val="00416EC9"/>
    <w:rsid w:val="00417568"/>
    <w:rsid w:val="00420D45"/>
    <w:rsid w:val="00421471"/>
    <w:rsid w:val="00422911"/>
    <w:rsid w:val="0042326C"/>
    <w:rsid w:val="00425E31"/>
    <w:rsid w:val="00426801"/>
    <w:rsid w:val="00430498"/>
    <w:rsid w:val="0043067C"/>
    <w:rsid w:val="00430B96"/>
    <w:rsid w:val="0043177D"/>
    <w:rsid w:val="004318CF"/>
    <w:rsid w:val="00432A9E"/>
    <w:rsid w:val="00432FD1"/>
    <w:rsid w:val="00435EDF"/>
    <w:rsid w:val="004379E8"/>
    <w:rsid w:val="00440278"/>
    <w:rsid w:val="0044113C"/>
    <w:rsid w:val="00443F62"/>
    <w:rsid w:val="004442DB"/>
    <w:rsid w:val="0044597A"/>
    <w:rsid w:val="00447E1C"/>
    <w:rsid w:val="00447E96"/>
    <w:rsid w:val="00450081"/>
    <w:rsid w:val="004516A3"/>
    <w:rsid w:val="00454517"/>
    <w:rsid w:val="00454E81"/>
    <w:rsid w:val="004550BD"/>
    <w:rsid w:val="00456685"/>
    <w:rsid w:val="00456A93"/>
    <w:rsid w:val="00456A9F"/>
    <w:rsid w:val="00457033"/>
    <w:rsid w:val="00457871"/>
    <w:rsid w:val="0046050C"/>
    <w:rsid w:val="004610DE"/>
    <w:rsid w:val="00461110"/>
    <w:rsid w:val="004615D4"/>
    <w:rsid w:val="0046249D"/>
    <w:rsid w:val="004625D2"/>
    <w:rsid w:val="004625F8"/>
    <w:rsid w:val="00463588"/>
    <w:rsid w:val="00463ADC"/>
    <w:rsid w:val="00463F8A"/>
    <w:rsid w:val="00464976"/>
    <w:rsid w:val="00465119"/>
    <w:rsid w:val="00470F6B"/>
    <w:rsid w:val="004728EF"/>
    <w:rsid w:val="0047528D"/>
    <w:rsid w:val="00476B9E"/>
    <w:rsid w:val="00477E0E"/>
    <w:rsid w:val="004839A6"/>
    <w:rsid w:val="00483F4A"/>
    <w:rsid w:val="004849A1"/>
    <w:rsid w:val="00484DCA"/>
    <w:rsid w:val="00485BE6"/>
    <w:rsid w:val="00487B14"/>
    <w:rsid w:val="004905AD"/>
    <w:rsid w:val="00491C83"/>
    <w:rsid w:val="00492020"/>
    <w:rsid w:val="0049284F"/>
    <w:rsid w:val="004933BC"/>
    <w:rsid w:val="00493891"/>
    <w:rsid w:val="004939E1"/>
    <w:rsid w:val="00494C40"/>
    <w:rsid w:val="00494D86"/>
    <w:rsid w:val="00494EF8"/>
    <w:rsid w:val="0049618A"/>
    <w:rsid w:val="004965B4"/>
    <w:rsid w:val="00496E09"/>
    <w:rsid w:val="00497534"/>
    <w:rsid w:val="004975BC"/>
    <w:rsid w:val="004A039A"/>
    <w:rsid w:val="004A20A3"/>
    <w:rsid w:val="004A363A"/>
    <w:rsid w:val="004A3C88"/>
    <w:rsid w:val="004A5D74"/>
    <w:rsid w:val="004A5EE3"/>
    <w:rsid w:val="004A640B"/>
    <w:rsid w:val="004B2E45"/>
    <w:rsid w:val="004B77AD"/>
    <w:rsid w:val="004C2FA8"/>
    <w:rsid w:val="004C4A76"/>
    <w:rsid w:val="004C4E9F"/>
    <w:rsid w:val="004C525D"/>
    <w:rsid w:val="004C7BF3"/>
    <w:rsid w:val="004D1764"/>
    <w:rsid w:val="004D1BC9"/>
    <w:rsid w:val="004D393C"/>
    <w:rsid w:val="004D4766"/>
    <w:rsid w:val="004D479C"/>
    <w:rsid w:val="004D5C37"/>
    <w:rsid w:val="004D6C26"/>
    <w:rsid w:val="004E07D2"/>
    <w:rsid w:val="004E5E07"/>
    <w:rsid w:val="004E6EC7"/>
    <w:rsid w:val="004E72D8"/>
    <w:rsid w:val="004F0D45"/>
    <w:rsid w:val="004F1E96"/>
    <w:rsid w:val="004F4A5A"/>
    <w:rsid w:val="004F6E12"/>
    <w:rsid w:val="004F6E92"/>
    <w:rsid w:val="004F70F4"/>
    <w:rsid w:val="004F7670"/>
    <w:rsid w:val="004F7812"/>
    <w:rsid w:val="004F78F3"/>
    <w:rsid w:val="0050422B"/>
    <w:rsid w:val="005044F6"/>
    <w:rsid w:val="005069A5"/>
    <w:rsid w:val="0050718C"/>
    <w:rsid w:val="00507341"/>
    <w:rsid w:val="00507C57"/>
    <w:rsid w:val="00507EA9"/>
    <w:rsid w:val="005113C8"/>
    <w:rsid w:val="00511795"/>
    <w:rsid w:val="00512134"/>
    <w:rsid w:val="00513542"/>
    <w:rsid w:val="00514C2A"/>
    <w:rsid w:val="005168AD"/>
    <w:rsid w:val="00516B04"/>
    <w:rsid w:val="005177EE"/>
    <w:rsid w:val="0052035C"/>
    <w:rsid w:val="0052276B"/>
    <w:rsid w:val="005261CB"/>
    <w:rsid w:val="0052626C"/>
    <w:rsid w:val="00526393"/>
    <w:rsid w:val="00526654"/>
    <w:rsid w:val="0053284F"/>
    <w:rsid w:val="00533A5B"/>
    <w:rsid w:val="00536D4E"/>
    <w:rsid w:val="0053715A"/>
    <w:rsid w:val="00537454"/>
    <w:rsid w:val="005379C9"/>
    <w:rsid w:val="005401C1"/>
    <w:rsid w:val="00540340"/>
    <w:rsid w:val="00540C29"/>
    <w:rsid w:val="00543182"/>
    <w:rsid w:val="00543945"/>
    <w:rsid w:val="005457DD"/>
    <w:rsid w:val="005514E4"/>
    <w:rsid w:val="00552C6F"/>
    <w:rsid w:val="005550AC"/>
    <w:rsid w:val="00556759"/>
    <w:rsid w:val="00557953"/>
    <w:rsid w:val="00563197"/>
    <w:rsid w:val="00563FF5"/>
    <w:rsid w:val="00564E78"/>
    <w:rsid w:val="005666F9"/>
    <w:rsid w:val="005674DB"/>
    <w:rsid w:val="00571A0B"/>
    <w:rsid w:val="00572F6D"/>
    <w:rsid w:val="0057380A"/>
    <w:rsid w:val="00574CEA"/>
    <w:rsid w:val="0057502D"/>
    <w:rsid w:val="005752E4"/>
    <w:rsid w:val="005760E0"/>
    <w:rsid w:val="005770F5"/>
    <w:rsid w:val="005772F4"/>
    <w:rsid w:val="00577B00"/>
    <w:rsid w:val="00580B01"/>
    <w:rsid w:val="005810B9"/>
    <w:rsid w:val="00582D1E"/>
    <w:rsid w:val="00583A63"/>
    <w:rsid w:val="00584FCD"/>
    <w:rsid w:val="0058667C"/>
    <w:rsid w:val="005901F5"/>
    <w:rsid w:val="005912D1"/>
    <w:rsid w:val="00591BD8"/>
    <w:rsid w:val="0059277F"/>
    <w:rsid w:val="005975A1"/>
    <w:rsid w:val="005979E1"/>
    <w:rsid w:val="005A0FB9"/>
    <w:rsid w:val="005A14B5"/>
    <w:rsid w:val="005A2C72"/>
    <w:rsid w:val="005A6BE9"/>
    <w:rsid w:val="005B3518"/>
    <w:rsid w:val="005B49CA"/>
    <w:rsid w:val="005B5B6E"/>
    <w:rsid w:val="005B75E7"/>
    <w:rsid w:val="005C069D"/>
    <w:rsid w:val="005C0D03"/>
    <w:rsid w:val="005C14BD"/>
    <w:rsid w:val="005C14EB"/>
    <w:rsid w:val="005C157E"/>
    <w:rsid w:val="005C4586"/>
    <w:rsid w:val="005C45FC"/>
    <w:rsid w:val="005C4814"/>
    <w:rsid w:val="005C4B76"/>
    <w:rsid w:val="005C5450"/>
    <w:rsid w:val="005C700D"/>
    <w:rsid w:val="005D1036"/>
    <w:rsid w:val="005D19D4"/>
    <w:rsid w:val="005D3225"/>
    <w:rsid w:val="005D389C"/>
    <w:rsid w:val="005D4262"/>
    <w:rsid w:val="005D4408"/>
    <w:rsid w:val="005D475C"/>
    <w:rsid w:val="005D4944"/>
    <w:rsid w:val="005D5607"/>
    <w:rsid w:val="005D592A"/>
    <w:rsid w:val="005E0856"/>
    <w:rsid w:val="005E09BA"/>
    <w:rsid w:val="005E185E"/>
    <w:rsid w:val="005E38EA"/>
    <w:rsid w:val="005E606C"/>
    <w:rsid w:val="005E62CC"/>
    <w:rsid w:val="005E74A0"/>
    <w:rsid w:val="005F0B81"/>
    <w:rsid w:val="005F317E"/>
    <w:rsid w:val="005F38E3"/>
    <w:rsid w:val="005F3E95"/>
    <w:rsid w:val="005F4C91"/>
    <w:rsid w:val="005F611E"/>
    <w:rsid w:val="0060123B"/>
    <w:rsid w:val="00601CE5"/>
    <w:rsid w:val="006026C4"/>
    <w:rsid w:val="00602994"/>
    <w:rsid w:val="00602C4C"/>
    <w:rsid w:val="006039E7"/>
    <w:rsid w:val="00604571"/>
    <w:rsid w:val="00605C1D"/>
    <w:rsid w:val="00605C71"/>
    <w:rsid w:val="006061C6"/>
    <w:rsid w:val="00607178"/>
    <w:rsid w:val="00607FFB"/>
    <w:rsid w:val="00610191"/>
    <w:rsid w:val="00613C59"/>
    <w:rsid w:val="006148C4"/>
    <w:rsid w:val="006152C3"/>
    <w:rsid w:val="00615C0F"/>
    <w:rsid w:val="00615C48"/>
    <w:rsid w:val="00617937"/>
    <w:rsid w:val="006209B6"/>
    <w:rsid w:val="006215A0"/>
    <w:rsid w:val="00621DCE"/>
    <w:rsid w:val="00622302"/>
    <w:rsid w:val="00622F48"/>
    <w:rsid w:val="006309E7"/>
    <w:rsid w:val="0063149A"/>
    <w:rsid w:val="00631F7A"/>
    <w:rsid w:val="00632007"/>
    <w:rsid w:val="00633311"/>
    <w:rsid w:val="00635000"/>
    <w:rsid w:val="006361D2"/>
    <w:rsid w:val="00643099"/>
    <w:rsid w:val="00644794"/>
    <w:rsid w:val="00644F62"/>
    <w:rsid w:val="00647E54"/>
    <w:rsid w:val="00650AF3"/>
    <w:rsid w:val="00651E6C"/>
    <w:rsid w:val="00653763"/>
    <w:rsid w:val="00653864"/>
    <w:rsid w:val="00654D62"/>
    <w:rsid w:val="006600E9"/>
    <w:rsid w:val="00660BE6"/>
    <w:rsid w:val="00662155"/>
    <w:rsid w:val="0066499B"/>
    <w:rsid w:val="00664D14"/>
    <w:rsid w:val="006651C9"/>
    <w:rsid w:val="00672541"/>
    <w:rsid w:val="0067271F"/>
    <w:rsid w:val="0067346B"/>
    <w:rsid w:val="006741C3"/>
    <w:rsid w:val="006760F5"/>
    <w:rsid w:val="00676258"/>
    <w:rsid w:val="00677E92"/>
    <w:rsid w:val="00681CBB"/>
    <w:rsid w:val="00682008"/>
    <w:rsid w:val="00683C50"/>
    <w:rsid w:val="00692F4F"/>
    <w:rsid w:val="0069698C"/>
    <w:rsid w:val="006971C0"/>
    <w:rsid w:val="006A1341"/>
    <w:rsid w:val="006A37B9"/>
    <w:rsid w:val="006A5905"/>
    <w:rsid w:val="006B1E40"/>
    <w:rsid w:val="006B1F05"/>
    <w:rsid w:val="006B3B83"/>
    <w:rsid w:val="006B53C1"/>
    <w:rsid w:val="006C04AB"/>
    <w:rsid w:val="006C12D1"/>
    <w:rsid w:val="006D0732"/>
    <w:rsid w:val="006D1E90"/>
    <w:rsid w:val="006D280F"/>
    <w:rsid w:val="006D4638"/>
    <w:rsid w:val="006D46DF"/>
    <w:rsid w:val="006D4A47"/>
    <w:rsid w:val="006D4C60"/>
    <w:rsid w:val="006D5BCC"/>
    <w:rsid w:val="006E0BBC"/>
    <w:rsid w:val="006E39C9"/>
    <w:rsid w:val="006E5152"/>
    <w:rsid w:val="006F3016"/>
    <w:rsid w:val="006F3A06"/>
    <w:rsid w:val="006F46E8"/>
    <w:rsid w:val="006F4711"/>
    <w:rsid w:val="006F497B"/>
    <w:rsid w:val="006F4B44"/>
    <w:rsid w:val="006F730D"/>
    <w:rsid w:val="00700833"/>
    <w:rsid w:val="007024FB"/>
    <w:rsid w:val="00704BE6"/>
    <w:rsid w:val="0070713C"/>
    <w:rsid w:val="007109C5"/>
    <w:rsid w:val="007114EE"/>
    <w:rsid w:val="007121C8"/>
    <w:rsid w:val="0071233C"/>
    <w:rsid w:val="00714A07"/>
    <w:rsid w:val="00714DD3"/>
    <w:rsid w:val="00720085"/>
    <w:rsid w:val="00724ADA"/>
    <w:rsid w:val="007262FF"/>
    <w:rsid w:val="00727361"/>
    <w:rsid w:val="00727A12"/>
    <w:rsid w:val="007309AA"/>
    <w:rsid w:val="00730F06"/>
    <w:rsid w:val="007327D9"/>
    <w:rsid w:val="007338DC"/>
    <w:rsid w:val="00737587"/>
    <w:rsid w:val="007405CF"/>
    <w:rsid w:val="00740718"/>
    <w:rsid w:val="00751B19"/>
    <w:rsid w:val="00752360"/>
    <w:rsid w:val="0075489D"/>
    <w:rsid w:val="00754A51"/>
    <w:rsid w:val="00754DDF"/>
    <w:rsid w:val="0075683B"/>
    <w:rsid w:val="00757B56"/>
    <w:rsid w:val="00763FC2"/>
    <w:rsid w:val="00764D8F"/>
    <w:rsid w:val="007658C2"/>
    <w:rsid w:val="007719AB"/>
    <w:rsid w:val="00772408"/>
    <w:rsid w:val="0077358D"/>
    <w:rsid w:val="007744D6"/>
    <w:rsid w:val="00774798"/>
    <w:rsid w:val="00774CBF"/>
    <w:rsid w:val="0077591E"/>
    <w:rsid w:val="00776561"/>
    <w:rsid w:val="00776AE1"/>
    <w:rsid w:val="007802E9"/>
    <w:rsid w:val="007804D8"/>
    <w:rsid w:val="00781261"/>
    <w:rsid w:val="00781B6D"/>
    <w:rsid w:val="00785CBF"/>
    <w:rsid w:val="007867EB"/>
    <w:rsid w:val="00790772"/>
    <w:rsid w:val="007927BE"/>
    <w:rsid w:val="00792867"/>
    <w:rsid w:val="00795D6A"/>
    <w:rsid w:val="00796546"/>
    <w:rsid w:val="00796FAF"/>
    <w:rsid w:val="007A02AE"/>
    <w:rsid w:val="007A0569"/>
    <w:rsid w:val="007A0E29"/>
    <w:rsid w:val="007A3249"/>
    <w:rsid w:val="007A387D"/>
    <w:rsid w:val="007A50E0"/>
    <w:rsid w:val="007A7911"/>
    <w:rsid w:val="007A7BA0"/>
    <w:rsid w:val="007B0809"/>
    <w:rsid w:val="007B18B3"/>
    <w:rsid w:val="007B226C"/>
    <w:rsid w:val="007B2B8E"/>
    <w:rsid w:val="007B2BA4"/>
    <w:rsid w:val="007B634D"/>
    <w:rsid w:val="007C0D52"/>
    <w:rsid w:val="007C1E7B"/>
    <w:rsid w:val="007C2878"/>
    <w:rsid w:val="007C2DAC"/>
    <w:rsid w:val="007C3562"/>
    <w:rsid w:val="007C4416"/>
    <w:rsid w:val="007C5D96"/>
    <w:rsid w:val="007C67E1"/>
    <w:rsid w:val="007C6CC0"/>
    <w:rsid w:val="007C753E"/>
    <w:rsid w:val="007D0387"/>
    <w:rsid w:val="007D0415"/>
    <w:rsid w:val="007D3C00"/>
    <w:rsid w:val="007D4660"/>
    <w:rsid w:val="007D59FA"/>
    <w:rsid w:val="007E30DF"/>
    <w:rsid w:val="007E35F0"/>
    <w:rsid w:val="007E4754"/>
    <w:rsid w:val="007E566A"/>
    <w:rsid w:val="007E5CC0"/>
    <w:rsid w:val="007E68BB"/>
    <w:rsid w:val="007E7FB5"/>
    <w:rsid w:val="007F1008"/>
    <w:rsid w:val="007F16E7"/>
    <w:rsid w:val="007F2006"/>
    <w:rsid w:val="007F29EB"/>
    <w:rsid w:val="007F30B8"/>
    <w:rsid w:val="007F4210"/>
    <w:rsid w:val="007F487C"/>
    <w:rsid w:val="007F522F"/>
    <w:rsid w:val="00802A39"/>
    <w:rsid w:val="00804E44"/>
    <w:rsid w:val="00807DA2"/>
    <w:rsid w:val="00811FC1"/>
    <w:rsid w:val="0081399C"/>
    <w:rsid w:val="008155C6"/>
    <w:rsid w:val="008168FE"/>
    <w:rsid w:val="00816D07"/>
    <w:rsid w:val="00817FB0"/>
    <w:rsid w:val="00820D72"/>
    <w:rsid w:val="008210AF"/>
    <w:rsid w:val="0082294F"/>
    <w:rsid w:val="00824073"/>
    <w:rsid w:val="00825357"/>
    <w:rsid w:val="008255FB"/>
    <w:rsid w:val="00826B28"/>
    <w:rsid w:val="008272AA"/>
    <w:rsid w:val="0083176F"/>
    <w:rsid w:val="00831C59"/>
    <w:rsid w:val="00835BC2"/>
    <w:rsid w:val="0083756D"/>
    <w:rsid w:val="00837B75"/>
    <w:rsid w:val="008406F0"/>
    <w:rsid w:val="008418DE"/>
    <w:rsid w:val="00842039"/>
    <w:rsid w:val="0084333D"/>
    <w:rsid w:val="00845D09"/>
    <w:rsid w:val="00847102"/>
    <w:rsid w:val="00852F5C"/>
    <w:rsid w:val="00855294"/>
    <w:rsid w:val="00855493"/>
    <w:rsid w:val="00855D33"/>
    <w:rsid w:val="00856CC7"/>
    <w:rsid w:val="00857A71"/>
    <w:rsid w:val="0086059A"/>
    <w:rsid w:val="00860A6F"/>
    <w:rsid w:val="00863004"/>
    <w:rsid w:val="00863346"/>
    <w:rsid w:val="0086355F"/>
    <w:rsid w:val="00864BC7"/>
    <w:rsid w:val="00864FEE"/>
    <w:rsid w:val="00865091"/>
    <w:rsid w:val="008666D7"/>
    <w:rsid w:val="00866C36"/>
    <w:rsid w:val="00866C88"/>
    <w:rsid w:val="00873547"/>
    <w:rsid w:val="00873DC8"/>
    <w:rsid w:val="00873F66"/>
    <w:rsid w:val="00874E81"/>
    <w:rsid w:val="008803AC"/>
    <w:rsid w:val="00880F40"/>
    <w:rsid w:val="00882221"/>
    <w:rsid w:val="00883741"/>
    <w:rsid w:val="00883A92"/>
    <w:rsid w:val="00884102"/>
    <w:rsid w:val="008876BD"/>
    <w:rsid w:val="00887FBB"/>
    <w:rsid w:val="0089055F"/>
    <w:rsid w:val="00891B50"/>
    <w:rsid w:val="0089262F"/>
    <w:rsid w:val="00895221"/>
    <w:rsid w:val="008954B0"/>
    <w:rsid w:val="008A00C5"/>
    <w:rsid w:val="008A27D0"/>
    <w:rsid w:val="008A4219"/>
    <w:rsid w:val="008A5F96"/>
    <w:rsid w:val="008B103A"/>
    <w:rsid w:val="008B4AF4"/>
    <w:rsid w:val="008B77DD"/>
    <w:rsid w:val="008C0699"/>
    <w:rsid w:val="008C36E4"/>
    <w:rsid w:val="008C4128"/>
    <w:rsid w:val="008C4A39"/>
    <w:rsid w:val="008C680C"/>
    <w:rsid w:val="008D102E"/>
    <w:rsid w:val="008D11CB"/>
    <w:rsid w:val="008D1DDC"/>
    <w:rsid w:val="008D5542"/>
    <w:rsid w:val="008D5D78"/>
    <w:rsid w:val="008D66BE"/>
    <w:rsid w:val="008D6AD0"/>
    <w:rsid w:val="008E1D5B"/>
    <w:rsid w:val="008E21D2"/>
    <w:rsid w:val="008E34A1"/>
    <w:rsid w:val="008E3B81"/>
    <w:rsid w:val="008E6E9C"/>
    <w:rsid w:val="008E7DE6"/>
    <w:rsid w:val="008F0107"/>
    <w:rsid w:val="008F19CE"/>
    <w:rsid w:val="008F38C2"/>
    <w:rsid w:val="008F3B1B"/>
    <w:rsid w:val="008F65D9"/>
    <w:rsid w:val="00901E23"/>
    <w:rsid w:val="0090547C"/>
    <w:rsid w:val="00905C6C"/>
    <w:rsid w:val="00906019"/>
    <w:rsid w:val="00906986"/>
    <w:rsid w:val="00910C05"/>
    <w:rsid w:val="00911198"/>
    <w:rsid w:val="00911F46"/>
    <w:rsid w:val="0091422E"/>
    <w:rsid w:val="009145E6"/>
    <w:rsid w:val="00916D3A"/>
    <w:rsid w:val="0092023F"/>
    <w:rsid w:val="00922F14"/>
    <w:rsid w:val="009231B2"/>
    <w:rsid w:val="00923A0B"/>
    <w:rsid w:val="00926CFF"/>
    <w:rsid w:val="00927C53"/>
    <w:rsid w:val="009312CD"/>
    <w:rsid w:val="00932DE4"/>
    <w:rsid w:val="0093309A"/>
    <w:rsid w:val="00933756"/>
    <w:rsid w:val="00935BE0"/>
    <w:rsid w:val="00935E2F"/>
    <w:rsid w:val="00936CEA"/>
    <w:rsid w:val="00940AE3"/>
    <w:rsid w:val="00940B66"/>
    <w:rsid w:val="00944863"/>
    <w:rsid w:val="00946DFA"/>
    <w:rsid w:val="00950F03"/>
    <w:rsid w:val="009528B8"/>
    <w:rsid w:val="00953B48"/>
    <w:rsid w:val="00954D7E"/>
    <w:rsid w:val="00955090"/>
    <w:rsid w:val="00960812"/>
    <w:rsid w:val="00961C40"/>
    <w:rsid w:val="0096206D"/>
    <w:rsid w:val="009623F6"/>
    <w:rsid w:val="0096588C"/>
    <w:rsid w:val="00967019"/>
    <w:rsid w:val="00967A8D"/>
    <w:rsid w:val="009708C7"/>
    <w:rsid w:val="00970AF0"/>
    <w:rsid w:val="00971B54"/>
    <w:rsid w:val="00971C32"/>
    <w:rsid w:val="00974E02"/>
    <w:rsid w:val="00980089"/>
    <w:rsid w:val="00980B2D"/>
    <w:rsid w:val="00981BD4"/>
    <w:rsid w:val="00983762"/>
    <w:rsid w:val="00985CC8"/>
    <w:rsid w:val="009914F5"/>
    <w:rsid w:val="009922BF"/>
    <w:rsid w:val="00992385"/>
    <w:rsid w:val="00992C93"/>
    <w:rsid w:val="00995590"/>
    <w:rsid w:val="009972A4"/>
    <w:rsid w:val="009A0618"/>
    <w:rsid w:val="009A0842"/>
    <w:rsid w:val="009A0CC9"/>
    <w:rsid w:val="009A14C1"/>
    <w:rsid w:val="009A167B"/>
    <w:rsid w:val="009A3765"/>
    <w:rsid w:val="009A7867"/>
    <w:rsid w:val="009A793E"/>
    <w:rsid w:val="009B023D"/>
    <w:rsid w:val="009B0279"/>
    <w:rsid w:val="009B05A9"/>
    <w:rsid w:val="009B1F4E"/>
    <w:rsid w:val="009B4530"/>
    <w:rsid w:val="009B4772"/>
    <w:rsid w:val="009B478A"/>
    <w:rsid w:val="009B4CF9"/>
    <w:rsid w:val="009B505D"/>
    <w:rsid w:val="009B597A"/>
    <w:rsid w:val="009C1CE4"/>
    <w:rsid w:val="009C2645"/>
    <w:rsid w:val="009C32CF"/>
    <w:rsid w:val="009C3BDC"/>
    <w:rsid w:val="009C6188"/>
    <w:rsid w:val="009C6AF5"/>
    <w:rsid w:val="009C7642"/>
    <w:rsid w:val="009C7AD3"/>
    <w:rsid w:val="009C7C5D"/>
    <w:rsid w:val="009D1B3F"/>
    <w:rsid w:val="009D3892"/>
    <w:rsid w:val="009D4758"/>
    <w:rsid w:val="009D6017"/>
    <w:rsid w:val="009D65E0"/>
    <w:rsid w:val="009D6DFB"/>
    <w:rsid w:val="009D727F"/>
    <w:rsid w:val="009D791E"/>
    <w:rsid w:val="009E00BE"/>
    <w:rsid w:val="009E358A"/>
    <w:rsid w:val="009E37FC"/>
    <w:rsid w:val="009E5450"/>
    <w:rsid w:val="009E5615"/>
    <w:rsid w:val="009E74CA"/>
    <w:rsid w:val="009F04CE"/>
    <w:rsid w:val="009F0513"/>
    <w:rsid w:val="009F3343"/>
    <w:rsid w:val="009F4426"/>
    <w:rsid w:val="009F4737"/>
    <w:rsid w:val="009F63D6"/>
    <w:rsid w:val="009F6CEA"/>
    <w:rsid w:val="00A00373"/>
    <w:rsid w:val="00A01ADE"/>
    <w:rsid w:val="00A028A7"/>
    <w:rsid w:val="00A02D8E"/>
    <w:rsid w:val="00A04B80"/>
    <w:rsid w:val="00A05CF8"/>
    <w:rsid w:val="00A05DC1"/>
    <w:rsid w:val="00A122EB"/>
    <w:rsid w:val="00A13B66"/>
    <w:rsid w:val="00A15ED2"/>
    <w:rsid w:val="00A17B19"/>
    <w:rsid w:val="00A17FCB"/>
    <w:rsid w:val="00A21440"/>
    <w:rsid w:val="00A224CF"/>
    <w:rsid w:val="00A235F8"/>
    <w:rsid w:val="00A24C57"/>
    <w:rsid w:val="00A25CCC"/>
    <w:rsid w:val="00A30E8C"/>
    <w:rsid w:val="00A3108A"/>
    <w:rsid w:val="00A31BED"/>
    <w:rsid w:val="00A32ACE"/>
    <w:rsid w:val="00A3568E"/>
    <w:rsid w:val="00A35709"/>
    <w:rsid w:val="00A359A3"/>
    <w:rsid w:val="00A368AD"/>
    <w:rsid w:val="00A36B21"/>
    <w:rsid w:val="00A36B49"/>
    <w:rsid w:val="00A37B21"/>
    <w:rsid w:val="00A427CF"/>
    <w:rsid w:val="00A43485"/>
    <w:rsid w:val="00A43E8D"/>
    <w:rsid w:val="00A4497C"/>
    <w:rsid w:val="00A457AB"/>
    <w:rsid w:val="00A47708"/>
    <w:rsid w:val="00A47FCF"/>
    <w:rsid w:val="00A50D6C"/>
    <w:rsid w:val="00A51BDF"/>
    <w:rsid w:val="00A55903"/>
    <w:rsid w:val="00A55A19"/>
    <w:rsid w:val="00A55A7A"/>
    <w:rsid w:val="00A57149"/>
    <w:rsid w:val="00A575BA"/>
    <w:rsid w:val="00A607FD"/>
    <w:rsid w:val="00A62D76"/>
    <w:rsid w:val="00A63172"/>
    <w:rsid w:val="00A64B24"/>
    <w:rsid w:val="00A651D4"/>
    <w:rsid w:val="00A65AFB"/>
    <w:rsid w:val="00A65EA4"/>
    <w:rsid w:val="00A66FFA"/>
    <w:rsid w:val="00A71321"/>
    <w:rsid w:val="00A71CBE"/>
    <w:rsid w:val="00A7500D"/>
    <w:rsid w:val="00A752EE"/>
    <w:rsid w:val="00A758E9"/>
    <w:rsid w:val="00A764D8"/>
    <w:rsid w:val="00A7654E"/>
    <w:rsid w:val="00A800A0"/>
    <w:rsid w:val="00A822C8"/>
    <w:rsid w:val="00A82DA9"/>
    <w:rsid w:val="00A83373"/>
    <w:rsid w:val="00A8396E"/>
    <w:rsid w:val="00A865D9"/>
    <w:rsid w:val="00A86742"/>
    <w:rsid w:val="00A86D30"/>
    <w:rsid w:val="00A90456"/>
    <w:rsid w:val="00A90898"/>
    <w:rsid w:val="00A9426E"/>
    <w:rsid w:val="00A97099"/>
    <w:rsid w:val="00AA00B3"/>
    <w:rsid w:val="00AA0D16"/>
    <w:rsid w:val="00AA2CD2"/>
    <w:rsid w:val="00AA36B9"/>
    <w:rsid w:val="00AA42AE"/>
    <w:rsid w:val="00AA56D2"/>
    <w:rsid w:val="00AA57CD"/>
    <w:rsid w:val="00AA5C4F"/>
    <w:rsid w:val="00AB1651"/>
    <w:rsid w:val="00AB1E3E"/>
    <w:rsid w:val="00AB4A9C"/>
    <w:rsid w:val="00AB54ED"/>
    <w:rsid w:val="00AB6FD1"/>
    <w:rsid w:val="00AC0643"/>
    <w:rsid w:val="00AC19FA"/>
    <w:rsid w:val="00AC2D85"/>
    <w:rsid w:val="00AC40B6"/>
    <w:rsid w:val="00AC5F43"/>
    <w:rsid w:val="00AD0685"/>
    <w:rsid w:val="00AD2BD2"/>
    <w:rsid w:val="00AD428C"/>
    <w:rsid w:val="00AD4342"/>
    <w:rsid w:val="00AD4427"/>
    <w:rsid w:val="00AD4E52"/>
    <w:rsid w:val="00AD4F84"/>
    <w:rsid w:val="00AD566B"/>
    <w:rsid w:val="00AD5B12"/>
    <w:rsid w:val="00AE11D1"/>
    <w:rsid w:val="00AE387C"/>
    <w:rsid w:val="00AE4599"/>
    <w:rsid w:val="00AE6B4A"/>
    <w:rsid w:val="00AF04A0"/>
    <w:rsid w:val="00AF0674"/>
    <w:rsid w:val="00AF1290"/>
    <w:rsid w:val="00AF240C"/>
    <w:rsid w:val="00AF6521"/>
    <w:rsid w:val="00B00E72"/>
    <w:rsid w:val="00B015FD"/>
    <w:rsid w:val="00B03A2E"/>
    <w:rsid w:val="00B0483D"/>
    <w:rsid w:val="00B04920"/>
    <w:rsid w:val="00B0520E"/>
    <w:rsid w:val="00B07625"/>
    <w:rsid w:val="00B1042B"/>
    <w:rsid w:val="00B11E9E"/>
    <w:rsid w:val="00B133BB"/>
    <w:rsid w:val="00B13D0F"/>
    <w:rsid w:val="00B14431"/>
    <w:rsid w:val="00B14BD3"/>
    <w:rsid w:val="00B15116"/>
    <w:rsid w:val="00B16620"/>
    <w:rsid w:val="00B172E9"/>
    <w:rsid w:val="00B24C0B"/>
    <w:rsid w:val="00B24D60"/>
    <w:rsid w:val="00B2758B"/>
    <w:rsid w:val="00B278AD"/>
    <w:rsid w:val="00B3251C"/>
    <w:rsid w:val="00B326A1"/>
    <w:rsid w:val="00B34051"/>
    <w:rsid w:val="00B34099"/>
    <w:rsid w:val="00B354D2"/>
    <w:rsid w:val="00B35D30"/>
    <w:rsid w:val="00B36348"/>
    <w:rsid w:val="00B3703C"/>
    <w:rsid w:val="00B373B6"/>
    <w:rsid w:val="00B37F60"/>
    <w:rsid w:val="00B40B20"/>
    <w:rsid w:val="00B42AD5"/>
    <w:rsid w:val="00B42E77"/>
    <w:rsid w:val="00B43956"/>
    <w:rsid w:val="00B43C31"/>
    <w:rsid w:val="00B43E9E"/>
    <w:rsid w:val="00B45429"/>
    <w:rsid w:val="00B457D5"/>
    <w:rsid w:val="00B4661F"/>
    <w:rsid w:val="00B46B8E"/>
    <w:rsid w:val="00B47A02"/>
    <w:rsid w:val="00B50F32"/>
    <w:rsid w:val="00B550F9"/>
    <w:rsid w:val="00B56939"/>
    <w:rsid w:val="00B61FDA"/>
    <w:rsid w:val="00B63A3D"/>
    <w:rsid w:val="00B64458"/>
    <w:rsid w:val="00B651A8"/>
    <w:rsid w:val="00B65B3A"/>
    <w:rsid w:val="00B65C16"/>
    <w:rsid w:val="00B6692B"/>
    <w:rsid w:val="00B677CE"/>
    <w:rsid w:val="00B734F0"/>
    <w:rsid w:val="00B7657F"/>
    <w:rsid w:val="00B77116"/>
    <w:rsid w:val="00B774C3"/>
    <w:rsid w:val="00B80EF7"/>
    <w:rsid w:val="00B830E5"/>
    <w:rsid w:val="00B83825"/>
    <w:rsid w:val="00B83EF0"/>
    <w:rsid w:val="00B843FC"/>
    <w:rsid w:val="00B86340"/>
    <w:rsid w:val="00B8639E"/>
    <w:rsid w:val="00B87127"/>
    <w:rsid w:val="00B87B9F"/>
    <w:rsid w:val="00B90581"/>
    <w:rsid w:val="00B92BED"/>
    <w:rsid w:val="00B937A4"/>
    <w:rsid w:val="00B939BB"/>
    <w:rsid w:val="00B93F4C"/>
    <w:rsid w:val="00B9554D"/>
    <w:rsid w:val="00B95E83"/>
    <w:rsid w:val="00B9700D"/>
    <w:rsid w:val="00BA083F"/>
    <w:rsid w:val="00BA145B"/>
    <w:rsid w:val="00BA29A7"/>
    <w:rsid w:val="00BA31CE"/>
    <w:rsid w:val="00BA6034"/>
    <w:rsid w:val="00BA664E"/>
    <w:rsid w:val="00BA6AB4"/>
    <w:rsid w:val="00BA6C10"/>
    <w:rsid w:val="00BB27CE"/>
    <w:rsid w:val="00BB2EE7"/>
    <w:rsid w:val="00BB3105"/>
    <w:rsid w:val="00BB3C5F"/>
    <w:rsid w:val="00BB42DC"/>
    <w:rsid w:val="00BB69E0"/>
    <w:rsid w:val="00BC04AC"/>
    <w:rsid w:val="00BC0A72"/>
    <w:rsid w:val="00BC145D"/>
    <w:rsid w:val="00BC4489"/>
    <w:rsid w:val="00BC4522"/>
    <w:rsid w:val="00BC4712"/>
    <w:rsid w:val="00BC4806"/>
    <w:rsid w:val="00BC5DE5"/>
    <w:rsid w:val="00BC62D9"/>
    <w:rsid w:val="00BC7987"/>
    <w:rsid w:val="00BD1B82"/>
    <w:rsid w:val="00BD300C"/>
    <w:rsid w:val="00BD4FB6"/>
    <w:rsid w:val="00BD5B36"/>
    <w:rsid w:val="00BD6885"/>
    <w:rsid w:val="00BE09A3"/>
    <w:rsid w:val="00BE350B"/>
    <w:rsid w:val="00BE46F5"/>
    <w:rsid w:val="00BE5162"/>
    <w:rsid w:val="00BE773F"/>
    <w:rsid w:val="00BF0835"/>
    <w:rsid w:val="00BF451D"/>
    <w:rsid w:val="00BF6607"/>
    <w:rsid w:val="00C0240D"/>
    <w:rsid w:val="00C04995"/>
    <w:rsid w:val="00C06FF2"/>
    <w:rsid w:val="00C0716E"/>
    <w:rsid w:val="00C07D43"/>
    <w:rsid w:val="00C10AB0"/>
    <w:rsid w:val="00C11353"/>
    <w:rsid w:val="00C13F28"/>
    <w:rsid w:val="00C17309"/>
    <w:rsid w:val="00C23ADA"/>
    <w:rsid w:val="00C27FFE"/>
    <w:rsid w:val="00C309F2"/>
    <w:rsid w:val="00C32AC3"/>
    <w:rsid w:val="00C32FAA"/>
    <w:rsid w:val="00C3303F"/>
    <w:rsid w:val="00C344F8"/>
    <w:rsid w:val="00C37A88"/>
    <w:rsid w:val="00C402E9"/>
    <w:rsid w:val="00C4087A"/>
    <w:rsid w:val="00C43219"/>
    <w:rsid w:val="00C436B1"/>
    <w:rsid w:val="00C43ABF"/>
    <w:rsid w:val="00C43CA3"/>
    <w:rsid w:val="00C43EBF"/>
    <w:rsid w:val="00C44DB0"/>
    <w:rsid w:val="00C45625"/>
    <w:rsid w:val="00C458A3"/>
    <w:rsid w:val="00C4660D"/>
    <w:rsid w:val="00C4732A"/>
    <w:rsid w:val="00C477ED"/>
    <w:rsid w:val="00C50BB6"/>
    <w:rsid w:val="00C50F9F"/>
    <w:rsid w:val="00C52906"/>
    <w:rsid w:val="00C5442E"/>
    <w:rsid w:val="00C54D87"/>
    <w:rsid w:val="00C563F9"/>
    <w:rsid w:val="00C56559"/>
    <w:rsid w:val="00C56F63"/>
    <w:rsid w:val="00C576ED"/>
    <w:rsid w:val="00C6076B"/>
    <w:rsid w:val="00C62B27"/>
    <w:rsid w:val="00C63198"/>
    <w:rsid w:val="00C663C5"/>
    <w:rsid w:val="00C66570"/>
    <w:rsid w:val="00C66C84"/>
    <w:rsid w:val="00C66E90"/>
    <w:rsid w:val="00C7043E"/>
    <w:rsid w:val="00C71A76"/>
    <w:rsid w:val="00C72666"/>
    <w:rsid w:val="00C73B3F"/>
    <w:rsid w:val="00C73C4F"/>
    <w:rsid w:val="00C7691E"/>
    <w:rsid w:val="00C77AAB"/>
    <w:rsid w:val="00C812CF"/>
    <w:rsid w:val="00C8256E"/>
    <w:rsid w:val="00C84EF5"/>
    <w:rsid w:val="00C84F04"/>
    <w:rsid w:val="00C85538"/>
    <w:rsid w:val="00C8607F"/>
    <w:rsid w:val="00C95A95"/>
    <w:rsid w:val="00C969C6"/>
    <w:rsid w:val="00C9763E"/>
    <w:rsid w:val="00C97D5C"/>
    <w:rsid w:val="00CA1050"/>
    <w:rsid w:val="00CA3859"/>
    <w:rsid w:val="00CA3A41"/>
    <w:rsid w:val="00CB344A"/>
    <w:rsid w:val="00CB3A3E"/>
    <w:rsid w:val="00CB47B3"/>
    <w:rsid w:val="00CB4965"/>
    <w:rsid w:val="00CC35B6"/>
    <w:rsid w:val="00CC37FA"/>
    <w:rsid w:val="00CC39C4"/>
    <w:rsid w:val="00CC3CBE"/>
    <w:rsid w:val="00CC4664"/>
    <w:rsid w:val="00CD0576"/>
    <w:rsid w:val="00CD2885"/>
    <w:rsid w:val="00CD2E83"/>
    <w:rsid w:val="00CD4F5A"/>
    <w:rsid w:val="00CD51F5"/>
    <w:rsid w:val="00CD57A7"/>
    <w:rsid w:val="00CD7019"/>
    <w:rsid w:val="00CD7456"/>
    <w:rsid w:val="00CE074D"/>
    <w:rsid w:val="00CE24BC"/>
    <w:rsid w:val="00CE354C"/>
    <w:rsid w:val="00CE37DC"/>
    <w:rsid w:val="00CE3D3F"/>
    <w:rsid w:val="00CE5232"/>
    <w:rsid w:val="00CE61C4"/>
    <w:rsid w:val="00CE62C8"/>
    <w:rsid w:val="00CF0767"/>
    <w:rsid w:val="00CF1467"/>
    <w:rsid w:val="00CF2071"/>
    <w:rsid w:val="00CF269F"/>
    <w:rsid w:val="00CF27D3"/>
    <w:rsid w:val="00CF3D1A"/>
    <w:rsid w:val="00CF3FAA"/>
    <w:rsid w:val="00CF467D"/>
    <w:rsid w:val="00CF495E"/>
    <w:rsid w:val="00D01827"/>
    <w:rsid w:val="00D03DEE"/>
    <w:rsid w:val="00D03EBB"/>
    <w:rsid w:val="00D07E22"/>
    <w:rsid w:val="00D13F27"/>
    <w:rsid w:val="00D1541C"/>
    <w:rsid w:val="00D17202"/>
    <w:rsid w:val="00D1772D"/>
    <w:rsid w:val="00D20E5C"/>
    <w:rsid w:val="00D20F15"/>
    <w:rsid w:val="00D227E2"/>
    <w:rsid w:val="00D227F5"/>
    <w:rsid w:val="00D243B0"/>
    <w:rsid w:val="00D2684A"/>
    <w:rsid w:val="00D27EB6"/>
    <w:rsid w:val="00D30223"/>
    <w:rsid w:val="00D3081C"/>
    <w:rsid w:val="00D30915"/>
    <w:rsid w:val="00D322DA"/>
    <w:rsid w:val="00D32746"/>
    <w:rsid w:val="00D32A60"/>
    <w:rsid w:val="00D3616F"/>
    <w:rsid w:val="00D37E0D"/>
    <w:rsid w:val="00D41735"/>
    <w:rsid w:val="00D426AF"/>
    <w:rsid w:val="00D42D79"/>
    <w:rsid w:val="00D44C35"/>
    <w:rsid w:val="00D4536A"/>
    <w:rsid w:val="00D46BB6"/>
    <w:rsid w:val="00D47094"/>
    <w:rsid w:val="00D503F8"/>
    <w:rsid w:val="00D509DF"/>
    <w:rsid w:val="00D5180D"/>
    <w:rsid w:val="00D51B95"/>
    <w:rsid w:val="00D51D41"/>
    <w:rsid w:val="00D53D62"/>
    <w:rsid w:val="00D54D36"/>
    <w:rsid w:val="00D55A85"/>
    <w:rsid w:val="00D56647"/>
    <w:rsid w:val="00D57905"/>
    <w:rsid w:val="00D63605"/>
    <w:rsid w:val="00D65F7D"/>
    <w:rsid w:val="00D67BB2"/>
    <w:rsid w:val="00D70301"/>
    <w:rsid w:val="00D70579"/>
    <w:rsid w:val="00D7152D"/>
    <w:rsid w:val="00D72872"/>
    <w:rsid w:val="00D749BE"/>
    <w:rsid w:val="00D751ED"/>
    <w:rsid w:val="00D75B45"/>
    <w:rsid w:val="00D80EC1"/>
    <w:rsid w:val="00D8604C"/>
    <w:rsid w:val="00D87AE8"/>
    <w:rsid w:val="00D90CD3"/>
    <w:rsid w:val="00D91357"/>
    <w:rsid w:val="00D920D6"/>
    <w:rsid w:val="00D9252C"/>
    <w:rsid w:val="00D92AFE"/>
    <w:rsid w:val="00D92C69"/>
    <w:rsid w:val="00D9425A"/>
    <w:rsid w:val="00D94D49"/>
    <w:rsid w:val="00D95EDC"/>
    <w:rsid w:val="00D96957"/>
    <w:rsid w:val="00D96EBE"/>
    <w:rsid w:val="00DA09D6"/>
    <w:rsid w:val="00DA279C"/>
    <w:rsid w:val="00DA4615"/>
    <w:rsid w:val="00DA46BD"/>
    <w:rsid w:val="00DA4D2C"/>
    <w:rsid w:val="00DA70EF"/>
    <w:rsid w:val="00DB155A"/>
    <w:rsid w:val="00DB1E10"/>
    <w:rsid w:val="00DB26AE"/>
    <w:rsid w:val="00DB3157"/>
    <w:rsid w:val="00DB3BBD"/>
    <w:rsid w:val="00DB48ED"/>
    <w:rsid w:val="00DB4D5C"/>
    <w:rsid w:val="00DB5AA7"/>
    <w:rsid w:val="00DB620B"/>
    <w:rsid w:val="00DB6F28"/>
    <w:rsid w:val="00DC01C1"/>
    <w:rsid w:val="00DC0C09"/>
    <w:rsid w:val="00DC20A5"/>
    <w:rsid w:val="00DC212D"/>
    <w:rsid w:val="00DC21F7"/>
    <w:rsid w:val="00DC4D21"/>
    <w:rsid w:val="00DC5E6E"/>
    <w:rsid w:val="00DD0BD6"/>
    <w:rsid w:val="00DD18B1"/>
    <w:rsid w:val="00DD19C5"/>
    <w:rsid w:val="00DD55D2"/>
    <w:rsid w:val="00DD77A2"/>
    <w:rsid w:val="00DD7A5E"/>
    <w:rsid w:val="00DE1256"/>
    <w:rsid w:val="00DE396C"/>
    <w:rsid w:val="00DE3F7E"/>
    <w:rsid w:val="00DE6ACD"/>
    <w:rsid w:val="00DE7224"/>
    <w:rsid w:val="00DE72B7"/>
    <w:rsid w:val="00DE7E41"/>
    <w:rsid w:val="00DF1D09"/>
    <w:rsid w:val="00DF24FA"/>
    <w:rsid w:val="00DF3967"/>
    <w:rsid w:val="00DF5763"/>
    <w:rsid w:val="00DF5A30"/>
    <w:rsid w:val="00DF740C"/>
    <w:rsid w:val="00E02679"/>
    <w:rsid w:val="00E07251"/>
    <w:rsid w:val="00E10A77"/>
    <w:rsid w:val="00E10FBA"/>
    <w:rsid w:val="00E1172B"/>
    <w:rsid w:val="00E1178F"/>
    <w:rsid w:val="00E11EDD"/>
    <w:rsid w:val="00E13293"/>
    <w:rsid w:val="00E1635E"/>
    <w:rsid w:val="00E16783"/>
    <w:rsid w:val="00E22DC6"/>
    <w:rsid w:val="00E23A1B"/>
    <w:rsid w:val="00E258F0"/>
    <w:rsid w:val="00E272F0"/>
    <w:rsid w:val="00E278ED"/>
    <w:rsid w:val="00E302D0"/>
    <w:rsid w:val="00E30808"/>
    <w:rsid w:val="00E33245"/>
    <w:rsid w:val="00E3419B"/>
    <w:rsid w:val="00E34B2D"/>
    <w:rsid w:val="00E35C43"/>
    <w:rsid w:val="00E36B46"/>
    <w:rsid w:val="00E37A11"/>
    <w:rsid w:val="00E40C75"/>
    <w:rsid w:val="00E4220A"/>
    <w:rsid w:val="00E42CBB"/>
    <w:rsid w:val="00E43B87"/>
    <w:rsid w:val="00E46C3C"/>
    <w:rsid w:val="00E47B85"/>
    <w:rsid w:val="00E528C6"/>
    <w:rsid w:val="00E55212"/>
    <w:rsid w:val="00E56516"/>
    <w:rsid w:val="00E60E96"/>
    <w:rsid w:val="00E627D1"/>
    <w:rsid w:val="00E62CA1"/>
    <w:rsid w:val="00E6333B"/>
    <w:rsid w:val="00E63824"/>
    <w:rsid w:val="00E650E2"/>
    <w:rsid w:val="00E65AC4"/>
    <w:rsid w:val="00E708DF"/>
    <w:rsid w:val="00E70B34"/>
    <w:rsid w:val="00E7173E"/>
    <w:rsid w:val="00E71827"/>
    <w:rsid w:val="00E76CD6"/>
    <w:rsid w:val="00E81B0E"/>
    <w:rsid w:val="00E81CF9"/>
    <w:rsid w:val="00E82C6C"/>
    <w:rsid w:val="00E84554"/>
    <w:rsid w:val="00E85FDE"/>
    <w:rsid w:val="00E8610F"/>
    <w:rsid w:val="00E86721"/>
    <w:rsid w:val="00E878B6"/>
    <w:rsid w:val="00E9002D"/>
    <w:rsid w:val="00E92247"/>
    <w:rsid w:val="00E9239C"/>
    <w:rsid w:val="00E92739"/>
    <w:rsid w:val="00E92C0D"/>
    <w:rsid w:val="00E936A9"/>
    <w:rsid w:val="00E94612"/>
    <w:rsid w:val="00E959A6"/>
    <w:rsid w:val="00E961D3"/>
    <w:rsid w:val="00E96BEA"/>
    <w:rsid w:val="00EA1CFD"/>
    <w:rsid w:val="00EA2545"/>
    <w:rsid w:val="00EA2908"/>
    <w:rsid w:val="00EA384A"/>
    <w:rsid w:val="00EA4306"/>
    <w:rsid w:val="00EA4434"/>
    <w:rsid w:val="00EA6089"/>
    <w:rsid w:val="00EA651E"/>
    <w:rsid w:val="00EA6544"/>
    <w:rsid w:val="00EA686F"/>
    <w:rsid w:val="00EA78FC"/>
    <w:rsid w:val="00EA7DC6"/>
    <w:rsid w:val="00EB0D53"/>
    <w:rsid w:val="00EB2532"/>
    <w:rsid w:val="00EB5CC9"/>
    <w:rsid w:val="00EB5E15"/>
    <w:rsid w:val="00EB6C27"/>
    <w:rsid w:val="00EB74AF"/>
    <w:rsid w:val="00EC1DFA"/>
    <w:rsid w:val="00EC42FE"/>
    <w:rsid w:val="00EC676F"/>
    <w:rsid w:val="00EC6A77"/>
    <w:rsid w:val="00ED05B2"/>
    <w:rsid w:val="00ED1FCB"/>
    <w:rsid w:val="00ED266F"/>
    <w:rsid w:val="00ED2D61"/>
    <w:rsid w:val="00ED44A8"/>
    <w:rsid w:val="00ED532D"/>
    <w:rsid w:val="00ED706B"/>
    <w:rsid w:val="00ED7338"/>
    <w:rsid w:val="00ED7F66"/>
    <w:rsid w:val="00EE1FF6"/>
    <w:rsid w:val="00EE3EF0"/>
    <w:rsid w:val="00EE6CAA"/>
    <w:rsid w:val="00EE77FD"/>
    <w:rsid w:val="00EE7953"/>
    <w:rsid w:val="00EF143D"/>
    <w:rsid w:val="00EF4B75"/>
    <w:rsid w:val="00EF6122"/>
    <w:rsid w:val="00EF7903"/>
    <w:rsid w:val="00F00AB6"/>
    <w:rsid w:val="00F01DBC"/>
    <w:rsid w:val="00F02A5E"/>
    <w:rsid w:val="00F04E60"/>
    <w:rsid w:val="00F0501B"/>
    <w:rsid w:val="00F05C3F"/>
    <w:rsid w:val="00F05F73"/>
    <w:rsid w:val="00F06567"/>
    <w:rsid w:val="00F07510"/>
    <w:rsid w:val="00F137B9"/>
    <w:rsid w:val="00F15F4E"/>
    <w:rsid w:val="00F161B3"/>
    <w:rsid w:val="00F16DA4"/>
    <w:rsid w:val="00F17D0A"/>
    <w:rsid w:val="00F204F2"/>
    <w:rsid w:val="00F21705"/>
    <w:rsid w:val="00F21BB1"/>
    <w:rsid w:val="00F23DD6"/>
    <w:rsid w:val="00F24F83"/>
    <w:rsid w:val="00F25D84"/>
    <w:rsid w:val="00F316B3"/>
    <w:rsid w:val="00F32ED4"/>
    <w:rsid w:val="00F33DF6"/>
    <w:rsid w:val="00F341D8"/>
    <w:rsid w:val="00F36BBB"/>
    <w:rsid w:val="00F40C67"/>
    <w:rsid w:val="00F431A5"/>
    <w:rsid w:val="00F441BD"/>
    <w:rsid w:val="00F457C1"/>
    <w:rsid w:val="00F45E2E"/>
    <w:rsid w:val="00F470FF"/>
    <w:rsid w:val="00F472F9"/>
    <w:rsid w:val="00F47EF8"/>
    <w:rsid w:val="00F50E27"/>
    <w:rsid w:val="00F51CD2"/>
    <w:rsid w:val="00F52C20"/>
    <w:rsid w:val="00F52FB9"/>
    <w:rsid w:val="00F53370"/>
    <w:rsid w:val="00F53658"/>
    <w:rsid w:val="00F53A71"/>
    <w:rsid w:val="00F5420D"/>
    <w:rsid w:val="00F563F0"/>
    <w:rsid w:val="00F56A1E"/>
    <w:rsid w:val="00F626F9"/>
    <w:rsid w:val="00F631ED"/>
    <w:rsid w:val="00F634E5"/>
    <w:rsid w:val="00F64E2F"/>
    <w:rsid w:val="00F64F7B"/>
    <w:rsid w:val="00F65B49"/>
    <w:rsid w:val="00F660D3"/>
    <w:rsid w:val="00F67191"/>
    <w:rsid w:val="00F7048D"/>
    <w:rsid w:val="00F722CC"/>
    <w:rsid w:val="00F83755"/>
    <w:rsid w:val="00F841E3"/>
    <w:rsid w:val="00F85999"/>
    <w:rsid w:val="00F86128"/>
    <w:rsid w:val="00F8690E"/>
    <w:rsid w:val="00F91212"/>
    <w:rsid w:val="00F91594"/>
    <w:rsid w:val="00F9180F"/>
    <w:rsid w:val="00F94C48"/>
    <w:rsid w:val="00F966D3"/>
    <w:rsid w:val="00FA06E8"/>
    <w:rsid w:val="00FA2207"/>
    <w:rsid w:val="00FA555F"/>
    <w:rsid w:val="00FB0545"/>
    <w:rsid w:val="00FB0645"/>
    <w:rsid w:val="00FB1D1C"/>
    <w:rsid w:val="00FB2D49"/>
    <w:rsid w:val="00FB3C1F"/>
    <w:rsid w:val="00FB49CE"/>
    <w:rsid w:val="00FB4B9A"/>
    <w:rsid w:val="00FB768D"/>
    <w:rsid w:val="00FC03E0"/>
    <w:rsid w:val="00FC165F"/>
    <w:rsid w:val="00FC35AF"/>
    <w:rsid w:val="00FC389B"/>
    <w:rsid w:val="00FC3CB2"/>
    <w:rsid w:val="00FC4069"/>
    <w:rsid w:val="00FC5EDD"/>
    <w:rsid w:val="00FD00EC"/>
    <w:rsid w:val="00FD0D9B"/>
    <w:rsid w:val="00FD0E30"/>
    <w:rsid w:val="00FD1B8F"/>
    <w:rsid w:val="00FD22E7"/>
    <w:rsid w:val="00FD4082"/>
    <w:rsid w:val="00FE30FB"/>
    <w:rsid w:val="00FE6836"/>
    <w:rsid w:val="00FF1D14"/>
    <w:rsid w:val="00FF368B"/>
    <w:rsid w:val="00FF4D0D"/>
    <w:rsid w:val="00FF6913"/>
    <w:rsid w:val="00FF7541"/>
    <w:rsid w:val="2A98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
    <w:unhideWhenUsed/>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link w:val="2"/>
    <w:uiPriority w:val="9"/>
    <w:rPr>
      <w:b/>
      <w:bCs/>
      <w:kern w:val="44"/>
      <w:sz w:val="44"/>
      <w:szCs w:val="44"/>
    </w:rPr>
  </w:style>
  <w:style w:type="character" w:customStyle="1" w:styleId="9">
    <w:name w:val="标题 2 Char"/>
    <w:link w:val="3"/>
    <w:uiPriority w:val="9"/>
    <w:rPr>
      <w:rFonts w:ascii="Cambria" w:hAnsi="Cambria" w:eastAsia="宋体" w:cs="Times New Roman"/>
      <w:b/>
      <w:bCs/>
      <w:kern w:val="2"/>
      <w:sz w:val="32"/>
      <w:szCs w:val="32"/>
    </w:rPr>
  </w:style>
  <w:style w:type="character" w:customStyle="1" w:styleId="10">
    <w:name w:val="页眉 Char"/>
    <w:basedOn w:val="7"/>
    <w:link w:val="5"/>
    <w:semiHidden/>
    <w:uiPriority w:val="99"/>
    <w:rPr>
      <w:kern w:val="2"/>
      <w:sz w:val="18"/>
      <w:szCs w:val="18"/>
    </w:rPr>
  </w:style>
  <w:style w:type="character" w:customStyle="1" w:styleId="11">
    <w:name w:val="页脚 Char"/>
    <w:basedOn w:val="7"/>
    <w:link w:val="4"/>
    <w:uiPriority w:val="99"/>
    <w:rPr>
      <w:kern w:val="2"/>
      <w:sz w:val="18"/>
      <w:szCs w:val="18"/>
    </w:rPr>
  </w:style>
  <w:style w:type="character" w:customStyle="1" w:styleId="12">
    <w:name w:val="NormalCharacter"/>
    <w:semiHidden/>
    <w:qFormat/>
    <w:uiPriority w:val="0"/>
    <w:rPr>
      <w:rFonts w:ascii="Calibri" w:hAnsi="Calibri" w:eastAsia="方正仿宋简体" w:cs="Times New Roman"/>
      <w:kern w:val="2"/>
      <w:sz w:val="32"/>
      <w:szCs w:val="24"/>
      <w:lang w:val="en-US" w:eastAsia="zh-CN" w:bidi="ar-SA"/>
    </w:rPr>
  </w:style>
  <w:style w:type="paragraph" w:styleId="13">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797</Words>
  <Characters>4548</Characters>
  <Lines>37</Lines>
  <Paragraphs>10</Paragraphs>
  <TotalTime>69</TotalTime>
  <ScaleCrop>false</ScaleCrop>
  <LinksUpToDate>false</LinksUpToDate>
  <CharactersWithSpaces>5335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2022-04-14T06:41:00Z</dcterms:created>
  <dc:creator>文宇峰</dc:creator>
  <cp:lastModifiedBy>lenovo</cp:lastModifiedBy>
  <cp:lastPrinted>2021-03-05T01:46:00Z</cp:lastPrinted>
  <dcterms:modified xsi:type="dcterms:W3CDTF">2022-04-15T08:18:14Z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1B18850E99D04410967D74D8CB735FA0</vt:lpwstr>
  </property>
</Properties>
</file>