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24"/>
          <w:szCs w:val="24"/>
        </w:rPr>
      </w:pPr>
      <w:r>
        <w:rPr>
          <w:rFonts w:hint="eastAsia" w:ascii="宋体" w:hAnsi="宋体" w:cs="宋体"/>
          <w:b/>
          <w:sz w:val="24"/>
          <w:szCs w:val="24"/>
        </w:rPr>
        <w:t>附件1</w:t>
      </w:r>
    </w:p>
    <w:p>
      <w:pPr>
        <w:spacing w:line="360" w:lineRule="auto"/>
        <w:jc w:val="center"/>
        <w:textAlignment w:val="baseline"/>
        <w:rPr>
          <w:rFonts w:ascii="宋体" w:hAnsi="宋体" w:cs="宋体"/>
          <w:b/>
          <w:sz w:val="24"/>
          <w:szCs w:val="24"/>
        </w:rPr>
      </w:pPr>
    </w:p>
    <w:p>
      <w:pPr>
        <w:spacing w:line="360" w:lineRule="auto"/>
        <w:jc w:val="center"/>
        <w:textAlignment w:val="baseline"/>
        <w:rPr>
          <w:rFonts w:ascii="宋体" w:hAnsi="宋体" w:cs="宋体"/>
          <w:bCs/>
          <w:sz w:val="24"/>
          <w:szCs w:val="24"/>
        </w:rPr>
      </w:pPr>
    </w:p>
    <w:p>
      <w:pPr>
        <w:spacing w:line="360" w:lineRule="auto"/>
        <w:jc w:val="center"/>
        <w:textAlignment w:val="baseline"/>
        <w:rPr>
          <w:rFonts w:ascii="宋体" w:hAnsi="宋体" w:cs="宋体"/>
          <w:bCs/>
          <w:sz w:val="24"/>
          <w:szCs w:val="24"/>
        </w:rPr>
      </w:pPr>
      <w:r>
        <w:rPr>
          <w:rFonts w:hint="eastAsia" w:ascii="宋体" w:hAnsi="宋体" w:cs="宋体"/>
          <w:bCs/>
          <w:sz w:val="24"/>
          <w:szCs w:val="24"/>
        </w:rPr>
        <w:t>四川大学</w:t>
      </w:r>
    </w:p>
    <w:p>
      <w:pPr>
        <w:spacing w:line="360" w:lineRule="auto"/>
        <w:jc w:val="center"/>
        <w:textAlignment w:val="baseline"/>
        <w:rPr>
          <w:rFonts w:ascii="宋体" w:hAnsi="宋体" w:cs="宋体"/>
          <w:bCs/>
          <w:sz w:val="24"/>
          <w:szCs w:val="24"/>
        </w:rPr>
      </w:pPr>
      <w:r>
        <w:rPr>
          <w:rFonts w:hint="eastAsia" w:ascii="宋体" w:hAnsi="宋体" w:cs="宋体"/>
          <w:bCs/>
          <w:sz w:val="24"/>
          <w:szCs w:val="24"/>
        </w:rPr>
        <w:t>学位授权点建设2021年年度报告</w:t>
      </w:r>
    </w:p>
    <w:p>
      <w:pPr>
        <w:spacing w:line="360" w:lineRule="auto"/>
        <w:jc w:val="center"/>
        <w:textAlignment w:val="baseline"/>
        <w:rPr>
          <w:rFonts w:ascii="宋体" w:hAnsi="宋体" w:cs="宋体"/>
          <w:bCs/>
          <w:sz w:val="24"/>
          <w:szCs w:val="24"/>
        </w:rPr>
      </w:pPr>
      <w:r>
        <w:rPr>
          <w:rFonts w:hint="eastAsia" w:ascii="宋体" w:hAnsi="宋体" w:cs="宋体"/>
          <w:bCs/>
          <w:sz w:val="24"/>
          <w:szCs w:val="24"/>
        </w:rPr>
        <w:t>（提纲）</w:t>
      </w:r>
    </w:p>
    <w:p>
      <w:pPr>
        <w:spacing w:line="360" w:lineRule="auto"/>
        <w:jc w:val="center"/>
        <w:textAlignment w:val="baseline"/>
        <w:rPr>
          <w:rFonts w:ascii="宋体" w:hAnsi="宋体" w:cs="宋体"/>
          <w:bCs/>
          <w:sz w:val="24"/>
          <w:szCs w:val="24"/>
        </w:rPr>
      </w:pPr>
    </w:p>
    <w:p>
      <w:pPr>
        <w:snapToGrid w:val="0"/>
        <w:spacing w:line="360" w:lineRule="auto"/>
        <w:jc w:val="center"/>
        <w:textAlignment w:val="baseline"/>
        <w:rPr>
          <w:rFonts w:ascii="宋体" w:hAnsi="宋体" w:cs="宋体"/>
          <w:b/>
          <w:sz w:val="24"/>
          <w:szCs w:val="24"/>
        </w:rPr>
      </w:pPr>
    </w:p>
    <w:p>
      <w:pPr>
        <w:snapToGrid w:val="0"/>
        <w:spacing w:line="360" w:lineRule="auto"/>
        <w:jc w:val="center"/>
        <w:textAlignment w:val="baseline"/>
        <w:rPr>
          <w:rFonts w:ascii="宋体" w:hAnsi="宋体" w:cs="宋体"/>
          <w:b/>
          <w:sz w:val="24"/>
          <w:szCs w:val="24"/>
        </w:rPr>
      </w:pPr>
    </w:p>
    <w:p>
      <w:pPr>
        <w:snapToGrid w:val="0"/>
        <w:spacing w:line="360" w:lineRule="auto"/>
        <w:jc w:val="center"/>
        <w:textAlignment w:val="baseline"/>
        <w:rPr>
          <w:rFonts w:ascii="宋体" w:hAnsi="宋体" w:cs="宋体"/>
          <w:b/>
          <w:sz w:val="24"/>
          <w:szCs w:val="24"/>
        </w:rPr>
      </w:pPr>
    </w:p>
    <w:tbl>
      <w:tblPr>
        <w:tblStyle w:val="9"/>
        <w:tblW w:w="4425" w:type="dxa"/>
        <w:tblInd w:w="1519"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63"/>
        <w:gridCol w:w="3962"/>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4" w:type="dxa"/>
            <w:vMerge w:val="restart"/>
            <w:tcBorders>
              <w:top w:val="nil"/>
              <w:left w:val="nil"/>
              <w:bottom w:val="nil"/>
              <w:right w:val="single" w:color="000000" w:sz="4" w:space="0"/>
            </w:tcBorders>
            <w:vAlign w:val="center"/>
          </w:tcPr>
          <w:p>
            <w:pPr>
              <w:snapToGrid w:val="0"/>
              <w:spacing w:line="360" w:lineRule="auto"/>
              <w:jc w:val="center"/>
              <w:textAlignment w:val="baseline"/>
              <w:rPr>
                <w:rFonts w:ascii="宋体" w:hAnsi="宋体" w:cs="宋体"/>
                <w:b/>
                <w:spacing w:val="-10"/>
                <w:sz w:val="24"/>
                <w:szCs w:val="24"/>
              </w:rPr>
            </w:pPr>
            <w:r>
              <w:rPr>
                <w:rFonts w:hint="eastAsia" w:ascii="宋体" w:hAnsi="宋体" w:cs="宋体"/>
                <w:b/>
                <w:spacing w:val="-10"/>
                <w:sz w:val="24"/>
                <w:szCs w:val="24"/>
              </w:rPr>
              <w:t xml:space="preserve"> </w:t>
            </w:r>
          </w:p>
        </w:tc>
        <w:tc>
          <w:tcPr>
            <w:tcW w:w="3967" w:type="dxa"/>
            <w:tcBorders>
              <w:top w:val="nil"/>
              <w:left w:val="single" w:color="000000" w:sz="4" w:space="0"/>
              <w:bottom w:val="single" w:color="000000" w:sz="4" w:space="0"/>
              <w:right w:val="nil"/>
            </w:tcBorders>
            <w:vAlign w:val="center"/>
          </w:tcPr>
          <w:p>
            <w:pPr>
              <w:snapToGrid w:val="0"/>
              <w:spacing w:line="360" w:lineRule="auto"/>
              <w:textAlignment w:val="baseline"/>
              <w:rPr>
                <w:rFonts w:hint="eastAsia" w:ascii="宋体" w:hAnsi="宋体" w:eastAsia="宋体" w:cs="宋体"/>
                <w:b/>
                <w:spacing w:val="-10"/>
                <w:sz w:val="24"/>
                <w:szCs w:val="24"/>
                <w:lang w:eastAsia="zh-CN"/>
              </w:rPr>
            </w:pPr>
            <w:r>
              <w:rPr>
                <w:rFonts w:hint="eastAsia" w:ascii="宋体" w:hAnsi="宋体" w:cs="宋体"/>
                <w:b/>
                <w:spacing w:val="-10"/>
                <w:sz w:val="24"/>
                <w:szCs w:val="24"/>
              </w:rPr>
              <w:t>学位点名称：</w:t>
            </w:r>
            <w:r>
              <w:rPr>
                <w:rFonts w:hint="eastAsia" w:ascii="宋体" w:hAnsi="宋体" w:cs="宋体"/>
                <w:b/>
                <w:spacing w:val="-10"/>
                <w:sz w:val="24"/>
                <w:szCs w:val="24"/>
                <w:lang w:val="en-US" w:eastAsia="zh-CN"/>
              </w:rPr>
              <w:t>旅游管理</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4" w:type="dxa"/>
            <w:vMerge w:val="continue"/>
            <w:tcBorders>
              <w:top w:val="nil"/>
              <w:left w:val="nil"/>
              <w:bottom w:val="nil"/>
              <w:right w:val="single" w:color="000000" w:sz="4" w:space="0"/>
            </w:tcBorders>
            <w:vAlign w:val="center"/>
          </w:tcPr>
          <w:p>
            <w:pPr>
              <w:widowControl/>
              <w:spacing w:line="360" w:lineRule="auto"/>
              <w:jc w:val="left"/>
              <w:rPr>
                <w:rFonts w:ascii="宋体" w:hAnsi="宋体" w:cs="宋体"/>
                <w:b/>
                <w:spacing w:val="-10"/>
                <w:sz w:val="24"/>
                <w:szCs w:val="24"/>
              </w:rPr>
            </w:pPr>
          </w:p>
        </w:tc>
        <w:tc>
          <w:tcPr>
            <w:tcW w:w="3967" w:type="dxa"/>
            <w:tcBorders>
              <w:top w:val="single" w:color="000000" w:sz="4" w:space="0"/>
              <w:left w:val="single" w:color="000000" w:sz="4" w:space="0"/>
              <w:bottom w:val="nil"/>
              <w:right w:val="nil"/>
            </w:tcBorders>
            <w:vAlign w:val="center"/>
          </w:tcPr>
          <w:p>
            <w:pPr>
              <w:snapToGrid w:val="0"/>
              <w:spacing w:line="360" w:lineRule="auto"/>
              <w:textAlignment w:val="baseline"/>
              <w:rPr>
                <w:rFonts w:hint="default" w:ascii="宋体" w:hAnsi="宋体" w:eastAsia="宋体" w:cs="宋体"/>
                <w:b/>
                <w:spacing w:val="-10"/>
                <w:sz w:val="24"/>
                <w:szCs w:val="24"/>
                <w:lang w:val="en-US" w:eastAsia="zh-CN"/>
              </w:rPr>
            </w:pPr>
            <w:r>
              <w:rPr>
                <w:rFonts w:hint="eastAsia" w:ascii="宋体" w:hAnsi="宋体" w:cs="宋体"/>
                <w:b/>
                <w:spacing w:val="-10"/>
                <w:sz w:val="24"/>
                <w:szCs w:val="24"/>
              </w:rPr>
              <w:t>学位点代码：</w:t>
            </w:r>
            <w:r>
              <w:rPr>
                <w:rFonts w:hint="eastAsia" w:ascii="宋体" w:hAnsi="宋体" w:cs="宋体"/>
                <w:b/>
                <w:spacing w:val="-10"/>
                <w:sz w:val="24"/>
                <w:szCs w:val="24"/>
                <w:lang w:val="en-US" w:eastAsia="zh-CN"/>
              </w:rPr>
              <w:t>1254</w:t>
            </w:r>
            <w:bookmarkStart w:id="0" w:name="_GoBack"/>
            <w:bookmarkEnd w:id="0"/>
          </w:p>
        </w:tc>
      </w:tr>
    </w:tbl>
    <w:p>
      <w:pPr>
        <w:snapToGrid w:val="0"/>
        <w:spacing w:line="360" w:lineRule="auto"/>
        <w:jc w:val="center"/>
        <w:textAlignment w:val="baseline"/>
        <w:rPr>
          <w:rFonts w:ascii="宋体" w:hAnsi="宋体" w:cs="宋体"/>
          <w:b/>
          <w:sz w:val="24"/>
          <w:szCs w:val="24"/>
        </w:rPr>
      </w:pPr>
    </w:p>
    <w:p>
      <w:pPr>
        <w:spacing w:line="360" w:lineRule="auto"/>
        <w:jc w:val="center"/>
        <w:textAlignment w:val="baseline"/>
        <w:rPr>
          <w:rFonts w:ascii="宋体" w:hAnsi="宋体" w:cs="宋体"/>
          <w:b/>
          <w:sz w:val="24"/>
          <w:szCs w:val="24"/>
        </w:rPr>
      </w:pPr>
    </w:p>
    <w:p>
      <w:pPr>
        <w:widowControl/>
        <w:spacing w:line="360" w:lineRule="auto"/>
        <w:ind w:firstLine="480" w:firstLineChars="200"/>
        <w:textAlignment w:val="baseline"/>
        <w:rPr>
          <w:rFonts w:ascii="宋体" w:hAnsi="宋体" w:cs="宋体"/>
          <w:sz w:val="24"/>
          <w:szCs w:val="24"/>
        </w:rPr>
      </w:pPr>
    </w:p>
    <w:p>
      <w:pPr>
        <w:spacing w:line="360" w:lineRule="auto"/>
        <w:jc w:val="center"/>
        <w:textAlignment w:val="baseline"/>
        <w:rPr>
          <w:rFonts w:ascii="宋体" w:hAnsi="宋体" w:cs="宋体"/>
          <w:b/>
          <w:sz w:val="24"/>
          <w:szCs w:val="24"/>
        </w:rPr>
      </w:pPr>
    </w:p>
    <w:p>
      <w:pPr>
        <w:spacing w:line="360" w:lineRule="auto"/>
        <w:jc w:val="center"/>
        <w:textAlignment w:val="baseline"/>
        <w:rPr>
          <w:rFonts w:ascii="宋体" w:hAnsi="宋体" w:cs="宋体"/>
          <w:sz w:val="24"/>
          <w:szCs w:val="24"/>
        </w:rPr>
      </w:pPr>
      <w:r>
        <w:rPr>
          <w:rFonts w:hint="eastAsia" w:ascii="宋体" w:hAnsi="宋体" w:cs="宋体"/>
          <w:b/>
          <w:sz w:val="24"/>
          <w:szCs w:val="24"/>
        </w:rPr>
        <w:t>2022年 4 月 18 日</w:t>
      </w:r>
    </w:p>
    <w:p>
      <w:pPr>
        <w:widowControl/>
        <w:spacing w:line="360" w:lineRule="auto"/>
        <w:jc w:val="left"/>
        <w:rPr>
          <w:rFonts w:ascii="宋体" w:hAnsi="宋体" w:cs="宋体"/>
          <w:sz w:val="24"/>
          <w:szCs w:val="24"/>
        </w:rPr>
        <w:sectPr>
          <w:pgSz w:w="11906" w:h="16838"/>
          <w:pgMar w:top="1440" w:right="1800" w:bottom="1440" w:left="1800" w:header="851" w:footer="992" w:gutter="0"/>
          <w:pgNumType w:start="1"/>
          <w:cols w:space="720" w:num="1"/>
          <w:docGrid w:type="lines" w:linePitch="312" w:charSpace="0"/>
        </w:sectPr>
      </w:pPr>
    </w:p>
    <w:p>
      <w:pPr>
        <w:spacing w:line="360" w:lineRule="auto"/>
        <w:rPr>
          <w:rFonts w:ascii="黑体" w:hAnsi="黑体" w:eastAsia="黑体" w:cs="黑体"/>
          <w:sz w:val="32"/>
          <w:szCs w:val="32"/>
        </w:rPr>
      </w:pPr>
      <w:r>
        <w:rPr>
          <w:rFonts w:hint="eastAsia" w:ascii="黑体" w:hAnsi="黑体" w:eastAsia="黑体" w:cs="黑体"/>
          <w:sz w:val="32"/>
          <w:szCs w:val="32"/>
        </w:rPr>
        <w:t>一、总体概况</w:t>
      </w:r>
    </w:p>
    <w:p>
      <w:pPr>
        <w:spacing w:before="124" w:beforeLines="40" w:line="360" w:lineRule="auto"/>
        <w:rPr>
          <w:rFonts w:ascii="宋体" w:hAnsi="宋体" w:cs="宋体"/>
          <w:b/>
          <w:bCs/>
          <w:sz w:val="28"/>
          <w:szCs w:val="28"/>
        </w:rPr>
      </w:pPr>
      <w:r>
        <w:rPr>
          <w:rFonts w:hint="eastAsia" w:ascii="宋体" w:hAnsi="宋体" w:cs="宋体"/>
          <w:b/>
          <w:bCs/>
          <w:sz w:val="28"/>
          <w:szCs w:val="28"/>
        </w:rPr>
        <w:t>（一）学位授权点基本情况</w:t>
      </w:r>
    </w:p>
    <w:p>
      <w:pPr>
        <w:spacing w:line="360" w:lineRule="auto"/>
        <w:ind w:firstLine="480" w:firstLineChars="200"/>
        <w:rPr>
          <w:rFonts w:ascii="宋体" w:hAnsi="宋体" w:cs="宋体"/>
          <w:sz w:val="24"/>
          <w:szCs w:val="24"/>
        </w:rPr>
      </w:pPr>
      <w:r>
        <w:rPr>
          <w:rFonts w:hint="eastAsia" w:ascii="宋体" w:hAnsi="宋体" w:cs="宋体"/>
          <w:sz w:val="24"/>
          <w:szCs w:val="24"/>
        </w:rPr>
        <w:t>依托四川大学旅游学院下辖的旅游与景观学系、会展与休闲学系、国际旅游与酒店管理（全英文）系及旅游规划与开发研究所、旅游发展研究所、旅游与休闲研究中心、智慧旅游创新创业孵化中心等5个科研与实践平台，旅游管理专业学位点开设旅游规划与旅游资源开发、饭店管理、会展策划与管理、文旅产业与管理、旅游企业管理、遗产资源开发、旅游与大数据管理、文旅投融资研究8个研究方向。</w:t>
      </w:r>
    </w:p>
    <w:p>
      <w:pPr>
        <w:spacing w:line="360" w:lineRule="auto"/>
        <w:ind w:firstLine="480" w:firstLineChars="200"/>
        <w:rPr>
          <w:rFonts w:ascii="宋体" w:hAnsi="宋体" w:cs="宋体"/>
          <w:sz w:val="24"/>
          <w:szCs w:val="24"/>
        </w:rPr>
      </w:pPr>
      <w:r>
        <w:rPr>
          <w:rFonts w:hint="eastAsia" w:ascii="宋体" w:hAnsi="宋体" w:cs="宋体"/>
          <w:sz w:val="24"/>
          <w:szCs w:val="24"/>
        </w:rPr>
        <w:t>立足为行业服务培养优秀文旅人才的目标，旅游管理专业学位点与行业组织合作，建成“成都中科大旗股份有限公司实践基地”、“成都融创文旅城实践基地”、“成都天府旅游产业投资集团有限责任公司实践基地”等各类校外实践基地共计6个，实践基地总数达到15个。为实现专业学位硕士生双导师目标，本学位点根据研究方向建设要求，在全国优秀文旅企业组织中聘请了20位各类型的行业专家担任实践导师。</w:t>
      </w:r>
    </w:p>
    <w:p>
      <w:pPr>
        <w:spacing w:line="360" w:lineRule="auto"/>
        <w:ind w:firstLine="480" w:firstLineChars="200"/>
        <w:rPr>
          <w:rFonts w:ascii="宋体" w:hAnsi="宋体" w:cs="宋体"/>
          <w:sz w:val="24"/>
          <w:szCs w:val="24"/>
        </w:rPr>
      </w:pPr>
      <w:r>
        <w:rPr>
          <w:rFonts w:hint="eastAsia" w:ascii="宋体" w:hAnsi="宋体" w:cs="宋体"/>
          <w:sz w:val="24"/>
          <w:szCs w:val="24"/>
        </w:rPr>
        <w:t>学院组建了实验教学中心，为四川大学“523实验教学示范中心”之一。中心采用与国际接轨的创新教学方法，涵盖了旅游信息工程实验室、数字化景观设计实验室、旅游礼仪与形体实训室、红酒旅游实验室、茶文化实验室、旅游行为学实验室共6个重点实验室，通过实验教学，提升本科教育质量和研究生学术水平，引领未来中国旅游学教育的前沿发展方向。</w:t>
      </w:r>
    </w:p>
    <w:p>
      <w:pPr>
        <w:spacing w:line="360" w:lineRule="auto"/>
        <w:ind w:firstLine="480" w:firstLineChars="200"/>
        <w:rPr>
          <w:rFonts w:ascii="宋体" w:hAnsi="宋体" w:cs="宋体"/>
          <w:sz w:val="24"/>
          <w:szCs w:val="24"/>
        </w:rPr>
      </w:pPr>
      <w:r>
        <w:rPr>
          <w:rFonts w:hint="eastAsia" w:ascii="宋体" w:hAnsi="宋体" w:cs="宋体"/>
          <w:sz w:val="24"/>
          <w:szCs w:val="24"/>
        </w:rPr>
        <w:t>学院依托四川大学多学科交叉渗透的综合学术优势，有坚实的学科理论和较强的科研能力，在世界遗产研究、旅游资源的规划与开发、饭店管理、会展等方面有相当的理论造诣和实践经验，曾先后主持、参与了300余项地方旅游发展规划、区域旅游经济发展、饭店发展等课题研究，产生了较好的社会效益。</w:t>
      </w:r>
    </w:p>
    <w:p>
      <w:pPr>
        <w:spacing w:before="124" w:beforeLines="40" w:line="360" w:lineRule="auto"/>
        <w:rPr>
          <w:rFonts w:ascii="宋体" w:hAnsi="宋体" w:cs="宋体"/>
          <w:b/>
          <w:bCs/>
          <w:sz w:val="28"/>
          <w:szCs w:val="28"/>
        </w:rPr>
      </w:pPr>
      <w:r>
        <w:rPr>
          <w:rFonts w:hint="eastAsia" w:ascii="宋体" w:hAnsi="宋体" w:cs="宋体"/>
          <w:b/>
          <w:bCs/>
          <w:sz w:val="28"/>
          <w:szCs w:val="28"/>
        </w:rPr>
        <w:t>（二）研究生招生、在读、毕业、学位授予及就业基本状况</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1.研究生招生情况</w:t>
      </w:r>
    </w:p>
    <w:p>
      <w:pPr>
        <w:spacing w:line="360" w:lineRule="auto"/>
        <w:ind w:firstLine="480" w:firstLineChars="200"/>
        <w:rPr>
          <w:rFonts w:ascii="宋体" w:hAnsi="宋体" w:cs="宋体"/>
          <w:sz w:val="24"/>
          <w:szCs w:val="24"/>
        </w:rPr>
      </w:pPr>
      <w:r>
        <w:rPr>
          <w:rFonts w:hint="eastAsia" w:ascii="宋体" w:hAnsi="宋体" w:cs="宋体"/>
          <w:sz w:val="24"/>
          <w:szCs w:val="24"/>
        </w:rPr>
        <w:t>2020-2021年，本学位授权点招生录取104人（其中，2020年招生53人；2021年招生51人）。生源来自复旦大学、中山大学、山东大学、厦门大学、华南理工大学等，招生规模较往年相比有所扩大，生源质量较好。为了保证生源质量，吸引更多的优秀学生报考，本学位点配合学校研究生部及相关部门，采取了以下措施：</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第一、加大对外宣传力度，做好旅游管理学专业师资力量、学习平台、学生毕业前景等的宣传工作； </w:t>
      </w:r>
    </w:p>
    <w:p>
      <w:pPr>
        <w:spacing w:line="360" w:lineRule="auto"/>
        <w:ind w:firstLine="480" w:firstLineChars="200"/>
        <w:rPr>
          <w:rFonts w:ascii="宋体" w:hAnsi="宋体" w:cs="宋体"/>
          <w:sz w:val="24"/>
          <w:szCs w:val="24"/>
        </w:rPr>
      </w:pPr>
      <w:r>
        <w:rPr>
          <w:rFonts w:hint="eastAsia" w:ascii="宋体" w:hAnsi="宋体" w:cs="宋体"/>
          <w:sz w:val="24"/>
          <w:szCs w:val="24"/>
        </w:rPr>
        <w:t>第二、多年来坚持一位导师每届带专业硕士2-5名；</w:t>
      </w:r>
    </w:p>
    <w:p>
      <w:pPr>
        <w:spacing w:line="360" w:lineRule="auto"/>
        <w:ind w:firstLine="480" w:firstLineChars="200"/>
        <w:rPr>
          <w:rFonts w:ascii="宋体" w:hAnsi="宋体" w:cs="宋体"/>
          <w:sz w:val="24"/>
          <w:szCs w:val="24"/>
        </w:rPr>
      </w:pPr>
      <w:r>
        <w:rPr>
          <w:rFonts w:hint="eastAsia" w:ascii="宋体" w:hAnsi="宋体" w:cs="宋体"/>
          <w:sz w:val="24"/>
          <w:szCs w:val="24"/>
        </w:rPr>
        <w:t>第三、突出办学特色，并充分利用党校的资源和优势提高就业率；</w:t>
      </w:r>
    </w:p>
    <w:p>
      <w:pPr>
        <w:spacing w:line="360" w:lineRule="auto"/>
        <w:ind w:firstLine="480" w:firstLineChars="200"/>
        <w:rPr>
          <w:rFonts w:ascii="宋体" w:hAnsi="宋体" w:cs="宋体"/>
          <w:sz w:val="24"/>
          <w:szCs w:val="24"/>
        </w:rPr>
      </w:pPr>
      <w:r>
        <w:rPr>
          <w:rFonts w:hint="eastAsia" w:ascii="宋体" w:hAnsi="宋体" w:cs="宋体"/>
          <w:sz w:val="24"/>
          <w:szCs w:val="24"/>
        </w:rPr>
        <w:t>第四、逐步改善学生学习、生活条件，完善奖学金、助学金等各项制度；</w:t>
      </w:r>
    </w:p>
    <w:p>
      <w:pPr>
        <w:spacing w:line="360" w:lineRule="auto"/>
        <w:ind w:firstLine="480" w:firstLineChars="200"/>
        <w:rPr>
          <w:rFonts w:ascii="宋体" w:hAnsi="宋体" w:cs="宋体"/>
          <w:sz w:val="24"/>
          <w:szCs w:val="24"/>
        </w:rPr>
      </w:pPr>
      <w:r>
        <w:rPr>
          <w:rFonts w:hint="eastAsia" w:ascii="宋体" w:hAnsi="宋体" w:cs="宋体"/>
          <w:sz w:val="24"/>
          <w:szCs w:val="24"/>
        </w:rPr>
        <w:t>第五、通过名校访学、鼓励参加学术会议等增加研究生参与对外学术交流的机会。</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2.研究生在读情况</w:t>
      </w:r>
    </w:p>
    <w:p>
      <w:pPr>
        <w:spacing w:line="360" w:lineRule="auto"/>
        <w:ind w:firstLine="480" w:firstLineChars="200"/>
        <w:rPr>
          <w:rFonts w:ascii="宋体" w:hAnsi="宋体" w:cs="宋体"/>
          <w:sz w:val="24"/>
          <w:szCs w:val="24"/>
        </w:rPr>
      </w:pPr>
      <w:r>
        <w:rPr>
          <w:rFonts w:hint="eastAsia" w:ascii="宋体" w:hAnsi="宋体" w:cs="宋体"/>
          <w:sz w:val="24"/>
          <w:szCs w:val="24"/>
        </w:rPr>
        <w:t>2021年，包括2020级和2021级在读的旅游管理专业硕士研究生104人。</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3.研究生毕业情况</w:t>
      </w:r>
    </w:p>
    <w:p>
      <w:pPr>
        <w:spacing w:line="360" w:lineRule="auto"/>
        <w:ind w:firstLine="480" w:firstLineChars="200"/>
        <w:rPr>
          <w:rFonts w:ascii="宋体" w:hAnsi="宋体" w:cs="宋体"/>
          <w:sz w:val="24"/>
          <w:szCs w:val="24"/>
        </w:rPr>
      </w:pPr>
      <w:r>
        <w:rPr>
          <w:rFonts w:hint="eastAsia" w:ascii="宋体" w:hAnsi="宋体" w:cs="宋体"/>
          <w:sz w:val="24"/>
          <w:szCs w:val="24"/>
        </w:rPr>
        <w:t>数据统计期内，旅游管理专业硕士（MTA）毕业78人，其中，2020年毕业29人，2021年毕业49人。</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4.学位授予及就业基本状况</w:t>
      </w:r>
    </w:p>
    <w:p>
      <w:pPr>
        <w:spacing w:line="360" w:lineRule="auto"/>
        <w:ind w:firstLine="480" w:firstLineChars="200"/>
        <w:rPr>
          <w:rFonts w:ascii="宋体" w:hAnsi="宋体" w:cs="宋体"/>
          <w:sz w:val="24"/>
          <w:szCs w:val="24"/>
        </w:rPr>
      </w:pPr>
      <w:r>
        <w:rPr>
          <w:rFonts w:hint="eastAsia" w:ascii="宋体" w:hAnsi="宋体" w:cs="宋体"/>
          <w:sz w:val="24"/>
          <w:szCs w:val="24"/>
        </w:rPr>
        <w:t>2020-2021 年，本学位授权点共计52人获得旅游管理专业硕士学位（MTA），其中2020年25人获得学位，2021年27人获得学位。</w:t>
      </w:r>
    </w:p>
    <w:p>
      <w:pPr>
        <w:spacing w:line="360" w:lineRule="auto"/>
        <w:ind w:firstLine="480" w:firstLineChars="200"/>
        <w:rPr>
          <w:rFonts w:ascii="宋体" w:hAnsi="宋体" w:cs="宋体"/>
          <w:sz w:val="24"/>
          <w:szCs w:val="24"/>
        </w:rPr>
      </w:pPr>
      <w:r>
        <w:rPr>
          <w:rFonts w:hint="eastAsia" w:ascii="宋体" w:hAnsi="宋体" w:cs="宋体"/>
          <w:sz w:val="24"/>
          <w:szCs w:val="24"/>
        </w:rPr>
        <w:t>四川大学旅游管理专业就业前景：在万物互联和文旅融合背景下，旅游管理专业的涵盖面进一步得到拓宽广，已经从传统的饭店业、旅行社业、旅游景区景点三大主要支柱扩展到以旅游规划建设为代表的开发端、涵盖吃住行游购娱不同类型服务的产品端和由销售渠道和媒体品牌组成的市场端，覆盖产供销整个产业链，并进一步延伸到文旅金融、旅游教育、旅游地产、旅游康养、智慧文旅等领域产业，具有突出的跨学科交叉特征。经过两年的系统学习，旅游管理专业硕士点毕业生可以进入文旅行业行政管理部门、旅行社、旅游景区、旅游咨询公司、旅游电子 商务企业、旅游规划策划机构、饭店管理公司、旅游饭店、主题公园、文旅产业基金等文旅行业企事业单位和相关的互联网企业、高新技术企业等，从事项目策划、项目管理、项目分析、企业管理、人力资源管理、产品管理、市场管理等领域的工作。</w:t>
      </w:r>
    </w:p>
    <w:p>
      <w:pPr>
        <w:spacing w:before="124" w:beforeLines="40" w:line="360" w:lineRule="auto"/>
        <w:rPr>
          <w:rFonts w:ascii="宋体" w:hAnsi="宋体" w:cs="宋体"/>
          <w:b/>
          <w:bCs/>
          <w:sz w:val="28"/>
          <w:szCs w:val="28"/>
        </w:rPr>
      </w:pPr>
      <w:r>
        <w:rPr>
          <w:rFonts w:hint="eastAsia" w:ascii="宋体" w:hAnsi="宋体" w:cs="宋体"/>
          <w:b/>
          <w:bCs/>
          <w:sz w:val="28"/>
          <w:szCs w:val="28"/>
        </w:rPr>
        <w:t>（三）研究生导师状况（总体规模、队伍结构）</w:t>
      </w:r>
    </w:p>
    <w:p>
      <w:pPr>
        <w:spacing w:line="360" w:lineRule="auto"/>
        <w:ind w:firstLine="480" w:firstLineChars="200"/>
        <w:rPr>
          <w:rFonts w:ascii="宋体" w:hAnsi="宋体" w:cs="宋体"/>
          <w:sz w:val="24"/>
          <w:szCs w:val="24"/>
        </w:rPr>
      </w:pPr>
      <w:r>
        <w:rPr>
          <w:rFonts w:hint="eastAsia" w:ascii="宋体" w:hAnsi="宋体" w:cs="宋体"/>
          <w:sz w:val="24"/>
          <w:szCs w:val="24"/>
        </w:rPr>
        <w:t>2020-2021年度，为充实师资队伍，本学位点从清华大学引进1位文科讲席教授，从澳大利亚格里菲斯大学（Griffith University）引进1名特聘副研究员，从四川大学毕业生中选留1名特聘副研究员。新增博士生导师3名，硕士生导师4名。学位点现有博士生导师7人，硕士生导师17人。目前，学位点拥有专职教师30人，其中，国家重大人才工程领军人才、国家特支计划等省部级以上人才4人次；教授11人，副教授11人，境外学历或进修经历教师占比60%。</w:t>
      </w:r>
    </w:p>
    <w:p>
      <w:pPr>
        <w:spacing w:line="360" w:lineRule="auto"/>
        <w:rPr>
          <w:rFonts w:ascii="黑体" w:hAnsi="黑体" w:eastAsia="黑体" w:cs="黑体"/>
          <w:sz w:val="32"/>
          <w:szCs w:val="32"/>
        </w:rPr>
      </w:pPr>
    </w:p>
    <w:p>
      <w:pPr>
        <w:spacing w:line="360" w:lineRule="auto"/>
        <w:rPr>
          <w:rFonts w:ascii="黑体" w:hAnsi="黑体" w:eastAsia="黑体" w:cs="黑体"/>
          <w:sz w:val="32"/>
          <w:szCs w:val="32"/>
        </w:rPr>
      </w:pPr>
      <w:r>
        <w:rPr>
          <w:rFonts w:hint="eastAsia" w:ascii="黑体" w:hAnsi="黑体" w:eastAsia="黑体" w:cs="黑体"/>
          <w:sz w:val="32"/>
          <w:szCs w:val="32"/>
        </w:rPr>
        <w:t>二、研究生党建与思想政治教育工作</w:t>
      </w:r>
    </w:p>
    <w:p>
      <w:pPr>
        <w:spacing w:line="360" w:lineRule="auto"/>
        <w:ind w:firstLine="480" w:firstLineChars="200"/>
        <w:rPr>
          <w:rFonts w:ascii="宋体" w:hAnsi="宋体" w:cs="宋体"/>
          <w:sz w:val="24"/>
          <w:szCs w:val="24"/>
        </w:rPr>
      </w:pPr>
      <w:r>
        <w:rPr>
          <w:rFonts w:hint="eastAsia" w:ascii="宋体" w:hAnsi="宋体" w:cs="宋体"/>
          <w:sz w:val="24"/>
          <w:szCs w:val="24"/>
        </w:rPr>
        <w:t>本学科坚持以习近平新时代中国特色社会主义思想为指导，认真学习和贯彻中央对于文化和旅游发展的重大决策部署，努力实现“知识传授”、“能力培养”与“品格塑造”、“价值引领”的有机统一，以培养全面发展的社会主义旅游专业人才为目标，将思政教育和专业培养紧密结合，推动“三全育人”综合改革。</w:t>
      </w:r>
    </w:p>
    <w:p>
      <w:pPr>
        <w:spacing w:line="360" w:lineRule="auto"/>
        <w:ind w:firstLine="482" w:firstLineChars="200"/>
        <w:rPr>
          <w:rFonts w:ascii="宋体" w:hAnsi="宋体" w:cs="宋体"/>
          <w:sz w:val="24"/>
          <w:szCs w:val="24"/>
        </w:rPr>
      </w:pPr>
      <w:r>
        <w:rPr>
          <w:rFonts w:hint="eastAsia" w:ascii="宋体" w:hAnsi="宋体" w:cs="宋体"/>
          <w:b/>
          <w:bCs/>
          <w:sz w:val="24"/>
          <w:szCs w:val="24"/>
        </w:rPr>
        <w:t>1.发挥学科优势服务党和国家事业大局，拓展社会实践育人大平台</w:t>
      </w:r>
    </w:p>
    <w:p>
      <w:pPr>
        <w:spacing w:line="360" w:lineRule="auto"/>
        <w:ind w:firstLine="480" w:firstLineChars="200"/>
        <w:rPr>
          <w:rFonts w:ascii="宋体" w:hAnsi="宋体" w:cs="宋体"/>
          <w:sz w:val="24"/>
          <w:szCs w:val="24"/>
        </w:rPr>
      </w:pPr>
      <w:r>
        <w:rPr>
          <w:rFonts w:hint="eastAsia" w:ascii="宋体" w:hAnsi="宋体" w:cs="宋体"/>
          <w:sz w:val="24"/>
          <w:szCs w:val="24"/>
        </w:rPr>
        <w:t>（1）师生参与扶贫攻坚，在扶贫前线授业树人。师生为贵州威宁县等贫困县编制旅游扶贫专项规划，将旅游资源调查和重走长征路有机结合，将红色教育无声融入专业实践。</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（2）在疫情期间发声亮剑，研究生在海外媒体发文驳斥境外借疫情对中国的污名化，向中办等部门提交咨询报告，发表应对疫情研究论文。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（3）积极开展“微爱·阳光行”家庭走访实践活动，将爱国主义教育融入对西部艰苦地区学生 的实地慰问中。 </w:t>
      </w:r>
    </w:p>
    <w:p>
      <w:pPr>
        <w:spacing w:line="360" w:lineRule="auto"/>
        <w:ind w:firstLine="480" w:firstLineChars="200"/>
        <w:rPr>
          <w:rFonts w:ascii="宋体" w:hAnsi="宋体" w:cs="宋体"/>
          <w:sz w:val="24"/>
          <w:szCs w:val="24"/>
        </w:rPr>
      </w:pPr>
      <w:r>
        <w:rPr>
          <w:rFonts w:hint="eastAsia" w:ascii="宋体" w:hAnsi="宋体" w:cs="宋体"/>
          <w:sz w:val="24"/>
          <w:szCs w:val="24"/>
        </w:rPr>
        <w:t>（4）深度服务国家战略。响应国家战略，关注长征文化公园、旅游扶贫等热点问题。本学位点承担了成都市委宣传部《成都市红色文化实施方案》项目，梳理成都市红色资源，推进红色文化建设。该方案已于2021年实施。</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2.传承红色基因，筑牢意识形态主阵地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（1）师生参与搜集整理江姐等 67 位川大革命英烈事迹，征集革命历史文物、撰写江姐纪念馆陈 列展览大纲、培训江姐纪念馆讲解员，讲好红色故事为中共中央办公厅批准的、全国首个江姐纪 念馆的筹划、策展、宣教提供有力支持。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（2）制定《历史文化学院关于网络及新媒体使用的管理规定》等相关文件，加强对学院网站、 宣传栏、公众号等意识形态阵地的管理。 </w:t>
      </w:r>
    </w:p>
    <w:p>
      <w:pPr>
        <w:spacing w:line="360" w:lineRule="auto"/>
        <w:ind w:firstLine="480" w:firstLineChars="200"/>
        <w:rPr>
          <w:rFonts w:ascii="宋体" w:hAnsi="宋体" w:cs="宋体"/>
          <w:sz w:val="24"/>
          <w:szCs w:val="24"/>
        </w:rPr>
      </w:pPr>
      <w:r>
        <w:rPr>
          <w:rFonts w:hint="eastAsia" w:ascii="宋体" w:hAnsi="宋体" w:cs="宋体"/>
          <w:sz w:val="24"/>
          <w:szCs w:val="24"/>
        </w:rPr>
        <w:t>（3）疫情期间坚持正能量宣传，撰写《误导性报道影响公共卫生危机》等10篇论文，以正国际视听，5篇被国外媒体转载，2篇接受央视采访。</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3.坚守育人初心，践行基层党建育人使命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（1）以支部书记、党员学术骨干、师德典型、党员学生干部为主体，推动师生支部与村级党组织结对子，为扶贫攻坚出点子。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（2）推行学生进悬崖村、灾后重建地区、民族地区中小学，以红色旅游规划项目和“三会一课”的有机结合为切入，开展“四史”教育。 </w:t>
      </w:r>
    </w:p>
    <w:p>
      <w:pPr>
        <w:spacing w:line="360" w:lineRule="auto"/>
        <w:ind w:firstLine="480" w:firstLineChars="200"/>
        <w:rPr>
          <w:rFonts w:ascii="宋体" w:hAnsi="宋体" w:cs="宋体"/>
          <w:sz w:val="24"/>
          <w:szCs w:val="24"/>
        </w:rPr>
      </w:pPr>
      <w:r>
        <w:rPr>
          <w:rFonts w:hint="eastAsia" w:ascii="宋体" w:hAnsi="宋体" w:cs="宋体"/>
          <w:sz w:val="24"/>
          <w:szCs w:val="24"/>
        </w:rPr>
        <w:t>（3）发扬红色传统，传承红色基因，师生党员约200余人次赴邓小平故居等红色教育基地开展主题教育实践活动，投入党建经费近4万余元。</w:t>
      </w:r>
    </w:p>
    <w:p>
      <w:pPr>
        <w:spacing w:line="360" w:lineRule="auto"/>
        <w:ind w:firstLine="480" w:firstLineChars="200"/>
        <w:rPr>
          <w:rFonts w:ascii="宋体" w:hAnsi="宋体" w:cs="宋体"/>
          <w:sz w:val="24"/>
          <w:szCs w:val="24"/>
        </w:rPr>
      </w:pPr>
      <w:r>
        <w:rPr>
          <w:rFonts w:hint="eastAsia" w:ascii="宋体" w:hAnsi="宋体" w:cs="宋体"/>
          <w:sz w:val="24"/>
          <w:szCs w:val="24"/>
        </w:rPr>
        <w:t>（4）响应行业发展热点问题。本学位点与“中国旅游与大数据研究中心”联合发布国内首个“中国景区（博物馆）智慧化指数”，有效解决智慧景区统一评价标准问题。</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4.打造育人团队，提升思政队伍育人素质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（1）构建起领导干部、学术导师、专兼职辅导员、专业教师、班主任、名誉班主任与教导员“七位一体”的思政团队。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（2）推行传、帮、带全覆盖的思政队伍体系建设，全面推行研究生导“七导”、“八个一”，打造高素质育人团队。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（3）每学年举行革命文化教育活动10余次，举办社团文化活动100余场，1500余人次参加，增强文化自信，筑牢中华民族共同体意识，宣传新思想，传递正能量。 </w:t>
      </w:r>
    </w:p>
    <w:p>
      <w:pPr>
        <w:spacing w:line="360" w:lineRule="auto"/>
        <w:rPr>
          <w:rFonts w:ascii="宋体" w:hAnsi="宋体" w:cs="宋体"/>
          <w:sz w:val="24"/>
          <w:szCs w:val="24"/>
        </w:rPr>
      </w:pPr>
    </w:p>
    <w:p>
      <w:pPr>
        <w:spacing w:line="360" w:lineRule="auto"/>
        <w:rPr>
          <w:rFonts w:ascii="黑体" w:hAnsi="黑体" w:eastAsia="黑体" w:cs="黑体"/>
          <w:sz w:val="32"/>
          <w:szCs w:val="32"/>
        </w:rPr>
      </w:pPr>
      <w:r>
        <w:rPr>
          <w:rFonts w:hint="eastAsia" w:ascii="黑体" w:hAnsi="黑体" w:eastAsia="黑体" w:cs="黑体"/>
          <w:sz w:val="32"/>
          <w:szCs w:val="32"/>
        </w:rPr>
        <w:t>三、研究生培养相关制度及执行情况</w:t>
      </w:r>
    </w:p>
    <w:p>
      <w:pPr>
        <w:spacing w:before="124" w:beforeLines="40" w:line="360" w:lineRule="auto"/>
        <w:rPr>
          <w:rFonts w:ascii="宋体" w:hAnsi="宋体" w:cs="宋体"/>
          <w:b/>
          <w:bCs/>
          <w:sz w:val="28"/>
          <w:szCs w:val="28"/>
        </w:rPr>
      </w:pPr>
      <w:r>
        <w:rPr>
          <w:rFonts w:hint="eastAsia" w:ascii="宋体" w:hAnsi="宋体" w:cs="宋体"/>
          <w:b/>
          <w:bCs/>
          <w:sz w:val="28"/>
          <w:szCs w:val="28"/>
        </w:rPr>
        <w:t>（一）课程建设与实施情况</w:t>
      </w:r>
    </w:p>
    <w:p>
      <w:pPr>
        <w:spacing w:line="360" w:lineRule="auto"/>
        <w:ind w:firstLine="480" w:firstLineChars="200"/>
        <w:rPr>
          <w:rFonts w:ascii="宋体" w:hAnsi="宋体" w:cs="宋体"/>
          <w:sz w:val="24"/>
          <w:szCs w:val="24"/>
        </w:rPr>
      </w:pPr>
      <w:r>
        <w:rPr>
          <w:rFonts w:hint="eastAsia" w:ascii="宋体" w:hAnsi="宋体" w:cs="宋体"/>
          <w:sz w:val="24"/>
          <w:szCs w:val="24"/>
        </w:rPr>
        <w:t>本学位点课程体系以业界精英的培养需求为出发点，依托学院特色优势，并借鉴国内外高级应用型专业课程设置，由基础理论课程、专业技能课程、实践课程和综合素质课程四个板块四大模块33门课程组成，其中16门课程为必修课程，17门课程为专业选修课程，可选课程的比例高达95%，以培养适应性更强的复合型人才。在2021年度，本学位点启动了全日制和非全日制专业硕士培养方案的重新修订，通过调整培养时间、培养方向、培养方式、课程方案等满足文旅行业对应用型高端管理人才的需要。</w:t>
      </w:r>
    </w:p>
    <w:p>
      <w:pPr>
        <w:spacing w:line="360" w:lineRule="auto"/>
        <w:ind w:firstLine="480" w:firstLineChars="200"/>
        <w:rPr>
          <w:rFonts w:ascii="宋体" w:hAnsi="宋体" w:cs="宋体"/>
          <w:sz w:val="24"/>
          <w:szCs w:val="24"/>
        </w:rPr>
      </w:pPr>
      <w:r>
        <w:rPr>
          <w:rFonts w:hint="eastAsia" w:ascii="宋体" w:hAnsi="宋体" w:cs="宋体"/>
          <w:sz w:val="24"/>
          <w:szCs w:val="24"/>
        </w:rPr>
        <w:t>课程特色：</w:t>
      </w:r>
    </w:p>
    <w:p>
      <w:pPr>
        <w:spacing w:line="360" w:lineRule="auto"/>
        <w:ind w:firstLine="480" w:firstLineChars="200"/>
        <w:rPr>
          <w:rFonts w:ascii="宋体" w:hAnsi="宋体" w:cs="宋体"/>
          <w:sz w:val="24"/>
          <w:szCs w:val="24"/>
        </w:rPr>
      </w:pPr>
      <w:r>
        <w:rPr>
          <w:rFonts w:hint="eastAsia" w:ascii="宋体" w:hAnsi="宋体" w:cs="宋体"/>
          <w:sz w:val="24"/>
          <w:szCs w:val="24"/>
        </w:rPr>
        <w:t>①配合资深教授与企业精英联袂：与知名企业共同打造课程体系，聘请专职教授+兼职导师+国际教授+旅游企业高管等为学员授课，开设校企合作课程。</w:t>
      </w:r>
    </w:p>
    <w:p>
      <w:pPr>
        <w:spacing w:line="360" w:lineRule="auto"/>
        <w:ind w:firstLine="480" w:firstLineChars="200"/>
        <w:rPr>
          <w:rFonts w:ascii="宋体" w:hAnsi="宋体" w:cs="宋体"/>
          <w:sz w:val="24"/>
          <w:szCs w:val="24"/>
        </w:rPr>
      </w:pPr>
      <w:r>
        <w:rPr>
          <w:rFonts w:hint="eastAsia" w:ascii="宋体" w:hAnsi="宋体" w:cs="宋体"/>
          <w:sz w:val="24"/>
          <w:szCs w:val="24"/>
        </w:rPr>
        <w:t>②强调理论与实践并重：构建集“案例研究-案例教学-案例实训”三位一体的案例教学体系，并通过实践调研与考察、专业实习、专业实训等多种途径开展专业实践。</w:t>
      </w:r>
    </w:p>
    <w:p>
      <w:pPr>
        <w:spacing w:line="360" w:lineRule="auto"/>
        <w:ind w:firstLine="480" w:firstLineChars="200"/>
        <w:rPr>
          <w:rFonts w:ascii="宋体" w:hAnsi="宋体" w:cs="宋体"/>
          <w:sz w:val="24"/>
          <w:szCs w:val="24"/>
        </w:rPr>
      </w:pPr>
      <w:r>
        <w:rPr>
          <w:rFonts w:hint="eastAsia" w:ascii="宋体" w:hAnsi="宋体" w:cs="宋体"/>
          <w:sz w:val="24"/>
          <w:szCs w:val="24"/>
        </w:rPr>
        <w:t>③重视定制化与国际化结合：依托四川大学优势学科资源，根据企业人才需求，开设特色课程，使人才培养更具有针对性，并邀请国际著名旅游研究专家授课，拓展学员国际化视野与思维。</w:t>
      </w:r>
    </w:p>
    <w:p>
      <w:pPr>
        <w:spacing w:before="124" w:beforeLines="40" w:line="360" w:lineRule="auto"/>
        <w:rPr>
          <w:rFonts w:ascii="宋体" w:hAnsi="宋体" w:cs="宋体"/>
          <w:b/>
          <w:bCs/>
          <w:sz w:val="28"/>
          <w:szCs w:val="28"/>
        </w:rPr>
      </w:pPr>
      <w:r>
        <w:rPr>
          <w:rFonts w:hint="eastAsia" w:ascii="宋体" w:hAnsi="宋体" w:cs="宋体"/>
          <w:b/>
          <w:bCs/>
          <w:sz w:val="28"/>
          <w:szCs w:val="28"/>
        </w:rPr>
        <w:t>（二）导师选拔培训</w:t>
      </w:r>
    </w:p>
    <w:p>
      <w:pPr>
        <w:spacing w:line="360" w:lineRule="auto"/>
        <w:ind w:firstLine="480" w:firstLineChars="200"/>
        <w:rPr>
          <w:rFonts w:ascii="宋体" w:hAnsi="宋体" w:cs="宋体"/>
          <w:sz w:val="24"/>
          <w:szCs w:val="24"/>
        </w:rPr>
      </w:pPr>
      <w:r>
        <w:rPr>
          <w:rFonts w:hint="eastAsia" w:ascii="宋体" w:hAnsi="宋体" w:cs="宋体"/>
          <w:sz w:val="24"/>
          <w:szCs w:val="24"/>
        </w:rPr>
        <w:t>研究生导师作为研究生培养的第一责任人，导师的科研创新思维和能力，教书育人、为人师表的人格魅力，严谨的科学道德与学风等对研究生全面成长至关重要。通过培训，使研究生导师熟悉国家和学校有关学位与研究生教育的政策法规，熟悉学校有关学位与研究生教育的规章制度，熟悉研究生培养过程的各个环节，有效提升研究生导师的指导能力，有助于提高研究生培养质量。</w:t>
      </w:r>
    </w:p>
    <w:p>
      <w:pPr>
        <w:spacing w:line="360" w:lineRule="auto"/>
        <w:rPr>
          <w:rFonts w:ascii="宋体" w:hAnsi="宋体" w:cs="宋体"/>
          <w:sz w:val="24"/>
          <w:szCs w:val="24"/>
        </w:rPr>
      </w:pPr>
      <w:r>
        <w:rPr>
          <w:rFonts w:hint="eastAsia" w:ascii="宋体" w:hAnsi="宋体" w:cs="宋体"/>
          <w:sz w:val="24"/>
          <w:szCs w:val="24"/>
        </w:rPr>
        <w:t>培训内容包括深化研究生教育改革的新政策、科学道德与学风建设、研究生品格培养与心理健康及国家和学校有关学位与研究生教育的规章制度、工作程序解读等。</w:t>
      </w:r>
    </w:p>
    <w:p>
      <w:pPr>
        <w:spacing w:line="360" w:lineRule="auto"/>
        <w:ind w:firstLine="480" w:firstLineChars="200"/>
        <w:rPr>
          <w:rFonts w:ascii="宋体" w:hAnsi="宋体" w:cs="宋体"/>
          <w:sz w:val="24"/>
          <w:szCs w:val="24"/>
        </w:rPr>
      </w:pPr>
      <w:r>
        <w:rPr>
          <w:rFonts w:hint="eastAsia" w:ascii="宋体" w:hAnsi="宋体" w:cs="宋体"/>
          <w:sz w:val="24"/>
          <w:szCs w:val="24"/>
        </w:rPr>
        <w:t>培训管理措施：</w:t>
      </w:r>
    </w:p>
    <w:p>
      <w:pPr>
        <w:spacing w:line="360" w:lineRule="auto"/>
        <w:ind w:firstLine="480" w:firstLineChars="200"/>
        <w:rPr>
          <w:rFonts w:ascii="宋体" w:hAnsi="宋体" w:cs="宋体"/>
          <w:sz w:val="24"/>
          <w:szCs w:val="24"/>
        </w:rPr>
      </w:pPr>
      <w:r>
        <w:rPr>
          <w:rFonts w:hint="eastAsia" w:ascii="宋体" w:hAnsi="宋体" w:cs="宋体"/>
          <w:sz w:val="24"/>
          <w:szCs w:val="24"/>
        </w:rPr>
        <w:t>1.研究生导师上岗培训：研究生导师上岗培训工作由研究生院组织实施。培训结束后由研究生院建立培训人员的个人档案。</w:t>
      </w:r>
    </w:p>
    <w:p>
      <w:pPr>
        <w:spacing w:line="360" w:lineRule="auto"/>
        <w:ind w:firstLine="480" w:firstLineChars="200"/>
        <w:rPr>
          <w:rFonts w:ascii="宋体" w:hAnsi="宋体" w:cs="宋体"/>
          <w:sz w:val="24"/>
          <w:szCs w:val="24"/>
        </w:rPr>
      </w:pPr>
      <w:r>
        <w:rPr>
          <w:rFonts w:hint="eastAsia" w:ascii="宋体" w:hAnsi="宋体" w:cs="宋体"/>
          <w:sz w:val="24"/>
          <w:szCs w:val="24"/>
        </w:rPr>
        <w:t>2.研究生导师常规培训：研究生导师常规培训工作由各学院组织实施，培训工作情况及培训台账健全情况纳入学院绩效考核实施方案。</w:t>
      </w:r>
    </w:p>
    <w:p>
      <w:pPr>
        <w:spacing w:line="360" w:lineRule="auto"/>
        <w:ind w:firstLine="480" w:firstLineChars="200"/>
        <w:rPr>
          <w:rFonts w:ascii="宋体" w:hAnsi="宋体" w:cs="宋体"/>
          <w:sz w:val="24"/>
          <w:szCs w:val="24"/>
        </w:rPr>
      </w:pPr>
      <w:r>
        <w:rPr>
          <w:rFonts w:hint="eastAsia" w:ascii="宋体" w:hAnsi="宋体" w:cs="宋体"/>
          <w:sz w:val="24"/>
          <w:szCs w:val="24"/>
        </w:rPr>
        <w:t>3.新增研究生导师参加上岗培训是获得研究生招生资格的必要条件之一。</w:t>
      </w:r>
    </w:p>
    <w:p>
      <w:pPr>
        <w:spacing w:line="360" w:lineRule="auto"/>
        <w:rPr>
          <w:rFonts w:ascii="宋体" w:hAnsi="宋体" w:cs="宋体"/>
          <w:sz w:val="24"/>
          <w:szCs w:val="24"/>
        </w:rPr>
      </w:pPr>
      <w:r>
        <w:rPr>
          <w:rFonts w:hint="eastAsia" w:ascii="宋体" w:hAnsi="宋体" w:cs="宋体"/>
          <w:sz w:val="24"/>
          <w:szCs w:val="24"/>
        </w:rPr>
        <w:t>落实全员培训。实施教师境内外访学、行业培训计划，分年度、分批次选派教师赴文旅企业、管理部门轮训，探索建立了新教师教育见习+企业实践制度。</w:t>
      </w:r>
    </w:p>
    <w:p>
      <w:pPr>
        <w:spacing w:line="360" w:lineRule="auto"/>
        <w:rPr>
          <w:rFonts w:ascii="宋体" w:hAnsi="宋体" w:cs="宋体"/>
          <w:sz w:val="24"/>
          <w:szCs w:val="24"/>
        </w:rPr>
      </w:pPr>
    </w:p>
    <w:p>
      <w:pPr>
        <w:spacing w:before="124" w:beforeLines="40" w:line="360" w:lineRule="auto"/>
        <w:rPr>
          <w:rFonts w:ascii="宋体" w:hAnsi="宋体" w:cs="宋体"/>
          <w:b/>
          <w:bCs/>
          <w:sz w:val="28"/>
          <w:szCs w:val="28"/>
        </w:rPr>
      </w:pPr>
      <w:r>
        <w:rPr>
          <w:rFonts w:hint="eastAsia" w:ascii="宋体" w:hAnsi="宋体" w:cs="宋体"/>
          <w:b/>
          <w:bCs/>
          <w:sz w:val="28"/>
          <w:szCs w:val="28"/>
        </w:rPr>
        <w:t>（三）师德师风建设情况</w:t>
      </w:r>
    </w:p>
    <w:p>
      <w:pPr>
        <w:spacing w:line="360" w:lineRule="auto"/>
        <w:ind w:firstLine="480" w:firstLineChars="200"/>
        <w:rPr>
          <w:rFonts w:ascii="宋体" w:hAnsi="宋体" w:cs="宋体"/>
          <w:sz w:val="24"/>
          <w:szCs w:val="24"/>
        </w:rPr>
      </w:pPr>
      <w:r>
        <w:rPr>
          <w:rFonts w:hint="eastAsia" w:ascii="宋体" w:hAnsi="宋体" w:cs="宋体"/>
          <w:sz w:val="24"/>
          <w:szCs w:val="24"/>
        </w:rPr>
        <w:t>1.形成了健全的“校院系”三级师风师德建设机制。在“学校统筹、学院牵头、科系落实、教师自我约束”的工作机制下，两年期间，本学位点教师保持“零投诉”纪录，评教优良率接近100%。</w:t>
      </w:r>
    </w:p>
    <w:p>
      <w:pPr>
        <w:spacing w:line="360" w:lineRule="auto"/>
        <w:ind w:firstLine="480" w:firstLineChars="200"/>
        <w:rPr>
          <w:rFonts w:ascii="宋体" w:hAnsi="宋体" w:cs="宋体"/>
          <w:sz w:val="24"/>
          <w:szCs w:val="24"/>
        </w:rPr>
      </w:pPr>
      <w:r>
        <w:rPr>
          <w:rFonts w:hint="eastAsia" w:ascii="宋体" w:hAnsi="宋体" w:cs="宋体"/>
          <w:sz w:val="24"/>
          <w:szCs w:val="24"/>
        </w:rPr>
        <w:t>2.建立了一支思想政治素质过硬的师资队伍。通过“校院系”三级的过程监督和考核，本学科教师的思想政治素质过硬，自觉将历史唯物主义以及习近平关于教育发展的思想贯穿到教育教学活动导中，使学生能够抵制西方意识形态的消极影响。</w:t>
      </w:r>
    </w:p>
    <w:p>
      <w:pPr>
        <w:spacing w:line="360" w:lineRule="auto"/>
        <w:ind w:firstLine="480" w:firstLineChars="200"/>
        <w:rPr>
          <w:rFonts w:ascii="宋体" w:hAnsi="宋体" w:cs="宋体"/>
          <w:sz w:val="24"/>
          <w:szCs w:val="24"/>
        </w:rPr>
      </w:pPr>
      <w:r>
        <w:rPr>
          <w:rFonts w:hint="eastAsia" w:ascii="宋体" w:hAnsi="宋体" w:cs="宋体"/>
          <w:sz w:val="24"/>
          <w:szCs w:val="24"/>
        </w:rPr>
        <w:t>3.营造出了学科内展开师风师德监督的健康氛围。在旅游管理专业师风师德建设小分组的组织下，教师们坚持学习，积极讨论有关案例，营造出了勇于批评与自我批评的健康氛围，保障了教师的日常行为规范，提升了科师资队伍的凝聚力。</w:t>
      </w:r>
    </w:p>
    <w:p>
      <w:pPr>
        <w:spacing w:line="360" w:lineRule="auto"/>
        <w:ind w:firstLine="480" w:firstLineChars="200"/>
        <w:rPr>
          <w:rFonts w:ascii="宋体" w:hAnsi="宋体" w:cs="宋体"/>
          <w:sz w:val="24"/>
          <w:szCs w:val="24"/>
        </w:rPr>
      </w:pPr>
      <w:r>
        <w:rPr>
          <w:rFonts w:hint="eastAsia" w:ascii="宋体" w:hAnsi="宋体" w:cs="宋体"/>
          <w:sz w:val="24"/>
          <w:szCs w:val="24"/>
        </w:rPr>
        <w:t>4.涌现出了一批模范教师和师风师德模范事例。有5名教师的科研成果获得省级科研成果奖，其中，《灾害社会风险治理系统工程》获得四川省一等奖；《农业转移人口市民化下西部城镇人口承载力评价研究》和《营销安全研究》获得四川省二等奖；《旅游业可持续发展研究》和《民族地区文化旅游与惠及民生包容性发展的若干问题研究》获得四川省三等奖。</w:t>
      </w:r>
    </w:p>
    <w:p>
      <w:pPr>
        <w:spacing w:before="124" w:beforeLines="40" w:line="360" w:lineRule="auto"/>
        <w:rPr>
          <w:rFonts w:ascii="宋体" w:hAnsi="宋体" w:cs="宋体"/>
          <w:b/>
          <w:bCs/>
          <w:sz w:val="28"/>
          <w:szCs w:val="28"/>
        </w:rPr>
      </w:pPr>
      <w:r>
        <w:rPr>
          <w:rFonts w:hint="eastAsia" w:ascii="宋体" w:hAnsi="宋体" w:cs="宋体"/>
          <w:b/>
          <w:bCs/>
          <w:sz w:val="28"/>
          <w:szCs w:val="28"/>
        </w:rPr>
        <w:t>（四）学术训练情况</w:t>
      </w:r>
    </w:p>
    <w:p>
      <w:pPr>
        <w:spacing w:line="360" w:lineRule="auto"/>
        <w:ind w:firstLine="480" w:firstLineChars="200"/>
        <w:rPr>
          <w:rFonts w:ascii="宋体" w:hAnsi="宋体" w:cs="宋体"/>
          <w:sz w:val="24"/>
          <w:szCs w:val="24"/>
        </w:rPr>
      </w:pPr>
      <w:r>
        <w:rPr>
          <w:rFonts w:hint="eastAsia" w:ascii="宋体" w:hAnsi="宋体" w:cs="宋体"/>
          <w:sz w:val="24"/>
          <w:szCs w:val="24"/>
        </w:rPr>
        <w:t>为推进学院一流专业和一流课程建设，深化人才培养模式改革，提高研究生的科研水平，培养学生发现问题、解决问题的能力，学院启动了两项针对研究生的学术训练项目。第一项是拔尖人才的选拔和培养。第二项是年度学术动态调研。</w:t>
      </w:r>
    </w:p>
    <w:p>
      <w:pPr>
        <w:spacing w:before="124" w:beforeLines="40" w:line="360" w:lineRule="auto"/>
        <w:rPr>
          <w:rFonts w:ascii="宋体" w:hAnsi="宋体" w:cs="宋体"/>
          <w:b/>
          <w:bCs/>
          <w:sz w:val="28"/>
          <w:szCs w:val="28"/>
        </w:rPr>
      </w:pPr>
      <w:r>
        <w:rPr>
          <w:rFonts w:hint="eastAsia" w:ascii="宋体" w:hAnsi="宋体" w:cs="宋体"/>
          <w:b/>
          <w:bCs/>
          <w:sz w:val="28"/>
          <w:szCs w:val="28"/>
        </w:rPr>
        <w:t>（五）学术交流情况</w:t>
      </w:r>
    </w:p>
    <w:p>
      <w:pPr>
        <w:spacing w:line="360" w:lineRule="auto"/>
        <w:ind w:firstLine="482" w:firstLineChars="200"/>
        <w:rPr>
          <w:rFonts w:ascii="宋体" w:hAnsi="宋体" w:cs="宋体"/>
          <w:sz w:val="24"/>
          <w:szCs w:val="24"/>
        </w:rPr>
      </w:pPr>
      <w:r>
        <w:rPr>
          <w:rFonts w:hint="eastAsia" w:ascii="宋体" w:hAnsi="宋体" w:cs="宋体"/>
          <w:b/>
          <w:bCs/>
          <w:sz w:val="24"/>
          <w:szCs w:val="24"/>
        </w:rPr>
        <w:t>1.定期举办研究生学术论坛活动</w:t>
      </w:r>
    </w:p>
    <w:p>
      <w:pPr>
        <w:spacing w:line="360" w:lineRule="auto"/>
        <w:ind w:firstLine="480" w:firstLineChars="200"/>
        <w:rPr>
          <w:rFonts w:ascii="宋体" w:hAnsi="宋体" w:cs="宋体"/>
          <w:sz w:val="24"/>
          <w:szCs w:val="24"/>
        </w:rPr>
      </w:pPr>
      <w:r>
        <w:rPr>
          <w:rFonts w:hint="eastAsia" w:ascii="宋体" w:hAnsi="宋体" w:cs="宋体"/>
          <w:sz w:val="24"/>
          <w:szCs w:val="24"/>
        </w:rPr>
        <w:t>四川大学旅游学院研究生学术论坛是四川大学旅游学院主办的研究生学术交流活动。论坛旨在为我院研究生提供高水平、多层次学术交流平台，促进学术互动、营造学术氛围，深化研究生学风建设。</w:t>
      </w:r>
    </w:p>
    <w:p>
      <w:pPr>
        <w:spacing w:line="360" w:lineRule="auto"/>
        <w:ind w:firstLine="482" w:firstLineChars="200"/>
        <w:rPr>
          <w:rFonts w:ascii="宋体" w:hAnsi="宋体" w:cs="宋体"/>
          <w:sz w:val="24"/>
          <w:szCs w:val="24"/>
        </w:rPr>
      </w:pPr>
      <w:r>
        <w:rPr>
          <w:rFonts w:hint="eastAsia" w:ascii="宋体" w:hAnsi="宋体" w:cs="宋体"/>
          <w:b/>
          <w:bCs/>
          <w:sz w:val="24"/>
          <w:szCs w:val="24"/>
        </w:rPr>
        <w:t>2.学术沙龙活动</w:t>
      </w:r>
    </w:p>
    <w:p>
      <w:pPr>
        <w:spacing w:line="360" w:lineRule="auto"/>
        <w:ind w:firstLine="480" w:firstLineChars="200"/>
        <w:rPr>
          <w:rFonts w:ascii="宋体" w:hAnsi="宋体" w:cs="宋体"/>
          <w:sz w:val="24"/>
          <w:szCs w:val="24"/>
        </w:rPr>
      </w:pPr>
      <w:r>
        <w:rPr>
          <w:rFonts w:hint="eastAsia" w:ascii="宋体" w:hAnsi="宋体" w:cs="宋体"/>
          <w:sz w:val="24"/>
          <w:szCs w:val="24"/>
        </w:rPr>
        <w:t>为加强四川大学旅游学院与四川省乃至国内国际旅游行业在旅游人才培养领域的合作，同时也为了实现为地方旅游业的发展，培养具有社会责任感、创业创新能力和旅游职业素养、具备国际化视野和战略思维能力、能够胜任现代旅游业与相关行业实际工作的高层次、应用型专门人才的目标，本学位点设立了行业导师学术沙龙，每两周邀请在旅游行业的顶尖人才进行讲座经验分享和探讨，为旅游行业人才创新培养和发展积极探索做出贡献。</w:t>
      </w:r>
    </w:p>
    <w:p>
      <w:pPr>
        <w:spacing w:before="124" w:beforeLines="40" w:line="360" w:lineRule="auto"/>
        <w:rPr>
          <w:rFonts w:ascii="宋体" w:hAnsi="宋体" w:cs="宋体"/>
          <w:b/>
          <w:bCs/>
          <w:sz w:val="28"/>
          <w:szCs w:val="28"/>
        </w:rPr>
      </w:pPr>
      <w:r>
        <w:rPr>
          <w:rFonts w:hint="eastAsia" w:ascii="宋体" w:hAnsi="宋体" w:cs="宋体"/>
          <w:b/>
          <w:bCs/>
          <w:sz w:val="28"/>
          <w:szCs w:val="28"/>
        </w:rPr>
        <w:t>（六）研究生奖助情况</w:t>
      </w:r>
    </w:p>
    <w:p>
      <w:pPr>
        <w:spacing w:line="360" w:lineRule="auto"/>
        <w:ind w:firstLine="480" w:firstLineChars="200"/>
        <w:rPr>
          <w:rFonts w:ascii="宋体" w:hAnsi="宋体" w:cs="宋体"/>
          <w:sz w:val="24"/>
          <w:szCs w:val="24"/>
        </w:rPr>
      </w:pPr>
      <w:r>
        <w:rPr>
          <w:rFonts w:hint="eastAsia" w:ascii="宋体" w:hAnsi="宋体" w:cs="宋体"/>
          <w:sz w:val="24"/>
          <w:szCs w:val="24"/>
        </w:rPr>
        <w:t>为了进一步加强拔尖创新人才培养，充分调动研究生的学习积极性和学术创造力，促进研究生的全面发展，根据国家相关文件精神，四川大学对《四川大学研究生奖助体系实施方案》进行修订，制定了《四川大学历史文化学院（旅游学院、考古文博学院）研究生奖助金评定细则》、《四川大学历史文化学院（旅游学院、考古文博学院）研究生第二次奖助金评定细则》，进一步完善了相关制度。</w:t>
      </w:r>
    </w:p>
    <w:p>
      <w:pPr>
        <w:spacing w:line="360" w:lineRule="auto"/>
        <w:ind w:firstLine="480" w:firstLineChars="200"/>
        <w:rPr>
          <w:rFonts w:ascii="宋体" w:hAnsi="宋体" w:cs="宋体"/>
          <w:sz w:val="24"/>
          <w:szCs w:val="24"/>
        </w:rPr>
      </w:pPr>
      <w:r>
        <w:rPr>
          <w:rFonts w:hint="eastAsia" w:ascii="宋体" w:hAnsi="宋体" w:cs="宋体"/>
          <w:sz w:val="24"/>
          <w:szCs w:val="24"/>
        </w:rPr>
        <w:t>1.助学金包含了国家助学金和学校助学金，博士生助学金标准为1500元/月，硕士生助学金标准为600元/月。在一、二年级，助学金按照12个月发放，其中10个月为国家助学金，两个月为学校助学金。在研究生三年级，助学金按照10个月（从9月至次年6月）发放，均为国家助学金。</w:t>
      </w:r>
    </w:p>
    <w:p>
      <w:pPr>
        <w:spacing w:line="360" w:lineRule="auto"/>
        <w:ind w:firstLine="480" w:firstLineChars="200"/>
        <w:rPr>
          <w:rFonts w:ascii="宋体" w:hAnsi="宋体" w:cs="宋体"/>
          <w:sz w:val="24"/>
          <w:szCs w:val="24"/>
        </w:rPr>
      </w:pPr>
      <w:r>
        <w:rPr>
          <w:rFonts w:hint="eastAsia" w:ascii="宋体" w:hAnsi="宋体" w:cs="宋体"/>
          <w:sz w:val="24"/>
          <w:szCs w:val="24"/>
        </w:rPr>
        <w:t>2.学业奖学金用于学生的学费补助，具体金额参照各专业学费标准和国家规定的学业奖学金上限确定。博士生学业奖学金上限为18000元/年；硕士生学业奖学金一、二等上限为12000元/年，三等按半额学费确定，不超过6000元/年。</w:t>
      </w:r>
    </w:p>
    <w:p>
      <w:pPr>
        <w:spacing w:line="360" w:lineRule="auto"/>
        <w:ind w:firstLine="480" w:firstLineChars="200"/>
        <w:rPr>
          <w:rFonts w:ascii="宋体" w:hAnsi="宋体" w:cs="宋体"/>
          <w:sz w:val="24"/>
          <w:szCs w:val="24"/>
        </w:rPr>
      </w:pPr>
      <w:r>
        <w:rPr>
          <w:rFonts w:hint="eastAsia" w:ascii="宋体" w:hAnsi="宋体" w:cs="宋体"/>
          <w:sz w:val="24"/>
          <w:szCs w:val="24"/>
        </w:rPr>
        <w:t>在2020-2021年度，本学位点获得各类奖学金的学生总数（包括2019级、2020级和2021级）达32人，获得助学金的学生总数达到86人。</w:t>
      </w:r>
    </w:p>
    <w:p>
      <w:pPr>
        <w:spacing w:line="360" w:lineRule="auto"/>
        <w:rPr>
          <w:rFonts w:ascii="宋体" w:hAnsi="宋体" w:cs="宋体"/>
          <w:sz w:val="24"/>
          <w:szCs w:val="24"/>
        </w:rPr>
      </w:pPr>
    </w:p>
    <w:p>
      <w:pPr>
        <w:spacing w:line="360" w:lineRule="auto"/>
        <w:rPr>
          <w:rFonts w:ascii="黑体" w:hAnsi="黑体" w:eastAsia="黑体" w:cs="黑体"/>
          <w:sz w:val="32"/>
          <w:szCs w:val="32"/>
        </w:rPr>
      </w:pPr>
      <w:r>
        <w:rPr>
          <w:rFonts w:hint="eastAsia" w:ascii="黑体" w:hAnsi="黑体" w:eastAsia="黑体" w:cs="黑体"/>
          <w:sz w:val="32"/>
          <w:szCs w:val="32"/>
        </w:rPr>
        <w:t>四、研究生教育改革情况</w:t>
      </w:r>
    </w:p>
    <w:p>
      <w:pPr>
        <w:spacing w:before="124" w:beforeLines="40" w:line="360" w:lineRule="auto"/>
        <w:rPr>
          <w:rFonts w:ascii="宋体" w:hAnsi="宋体" w:cs="宋体"/>
          <w:b/>
          <w:bCs/>
          <w:sz w:val="28"/>
          <w:szCs w:val="28"/>
        </w:rPr>
      </w:pPr>
      <w:r>
        <w:rPr>
          <w:rFonts w:hint="eastAsia" w:ascii="宋体" w:hAnsi="宋体" w:cs="宋体"/>
          <w:b/>
          <w:bCs/>
          <w:sz w:val="28"/>
          <w:szCs w:val="28"/>
        </w:rPr>
        <w:t>（一）人才培养</w:t>
      </w:r>
    </w:p>
    <w:p>
      <w:pPr>
        <w:spacing w:line="360" w:lineRule="auto"/>
        <w:ind w:firstLine="480" w:firstLineChars="200"/>
        <w:rPr>
          <w:rFonts w:ascii="宋体" w:hAnsi="宋体" w:cs="宋体"/>
          <w:sz w:val="24"/>
          <w:szCs w:val="24"/>
        </w:rPr>
      </w:pPr>
      <w:r>
        <w:rPr>
          <w:rFonts w:hint="eastAsia" w:ascii="宋体" w:hAnsi="宋体" w:cs="宋体"/>
          <w:sz w:val="24"/>
          <w:szCs w:val="24"/>
        </w:rPr>
        <w:t>四川大学旅游学院的旅游管理研究生学生在学期间，实现了100%全员参与行业实践，产出了包括研究报告、规划报告、咨询报告、行业标准、创新创业成果等不同类别的应用性成果。其中，2021年有2位同学考取了英语高级导游证，1位同学考取了中级旅游经济师证。上述应用性成果主要具有以下特点：</w:t>
      </w:r>
    </w:p>
    <w:p>
      <w:pPr>
        <w:spacing w:line="360" w:lineRule="auto"/>
        <w:ind w:firstLine="482" w:firstLineChars="200"/>
        <w:rPr>
          <w:rFonts w:ascii="宋体" w:hAnsi="宋体" w:cs="宋体"/>
          <w:sz w:val="24"/>
          <w:szCs w:val="24"/>
        </w:rPr>
      </w:pPr>
      <w:r>
        <w:rPr>
          <w:rFonts w:hint="eastAsia" w:ascii="宋体" w:hAnsi="宋体" w:cs="宋体"/>
          <w:b/>
          <w:bCs/>
          <w:sz w:val="24"/>
          <w:szCs w:val="24"/>
        </w:rPr>
        <w:t>1.高质量成果转化。</w:t>
      </w:r>
      <w:r>
        <w:rPr>
          <w:rFonts w:hint="eastAsia" w:ascii="宋体" w:hAnsi="宋体" w:cs="宋体"/>
          <w:sz w:val="24"/>
          <w:szCs w:val="24"/>
        </w:rPr>
        <w:t>应用性成果转化效果好，6项创新创业成果，8个咨询报告和16个规划报告全部落地实现，如学生自主知识产权创业的成都宏图旅游规划设计有限公司和四川问对文化传播有限公司。另外，参与标准制定，引领行业发展，如有关低空旅游运营规范的制定和文化主题旅游饭店方面的行业标准制定。</w:t>
      </w:r>
    </w:p>
    <w:p>
      <w:pPr>
        <w:spacing w:line="360" w:lineRule="auto"/>
        <w:ind w:firstLine="482" w:firstLineChars="200"/>
        <w:rPr>
          <w:rFonts w:ascii="宋体" w:hAnsi="宋体" w:cs="宋体"/>
          <w:sz w:val="24"/>
          <w:szCs w:val="24"/>
        </w:rPr>
      </w:pPr>
      <w:r>
        <w:rPr>
          <w:rFonts w:hint="eastAsia" w:ascii="宋体" w:hAnsi="宋体" w:cs="宋体"/>
          <w:b/>
          <w:bCs/>
          <w:sz w:val="24"/>
          <w:szCs w:val="24"/>
        </w:rPr>
        <w:t>2.高规格应用推广。</w:t>
      </w:r>
      <w:r>
        <w:rPr>
          <w:rFonts w:hint="eastAsia" w:ascii="宋体" w:hAnsi="宋体" w:cs="宋体"/>
          <w:sz w:val="24"/>
          <w:szCs w:val="24"/>
        </w:rPr>
        <w:t>响应国家战略，关注长征文化公园、旅游扶贫等热点问题，为相关地区进行旅游规划。关注后疫情时代产业发展、文旅产业复工复产，为各级政府和部门提供政策建议和决策参考。</w:t>
      </w:r>
    </w:p>
    <w:p>
      <w:pPr>
        <w:spacing w:line="360" w:lineRule="auto"/>
        <w:ind w:firstLine="482" w:firstLineChars="200"/>
        <w:rPr>
          <w:rFonts w:ascii="宋体" w:hAnsi="宋体" w:cs="宋体"/>
          <w:sz w:val="24"/>
          <w:szCs w:val="24"/>
        </w:rPr>
      </w:pPr>
      <w:r>
        <w:rPr>
          <w:rFonts w:hint="eastAsia" w:ascii="宋体" w:hAnsi="宋体" w:cs="宋体"/>
          <w:b/>
          <w:bCs/>
          <w:sz w:val="24"/>
          <w:szCs w:val="24"/>
        </w:rPr>
        <w:t>3.高水平学术论文。</w:t>
      </w:r>
      <w:r>
        <w:rPr>
          <w:rFonts w:hint="eastAsia" w:ascii="宋体" w:hAnsi="宋体" w:cs="宋体"/>
          <w:sz w:val="24"/>
          <w:szCs w:val="24"/>
        </w:rPr>
        <w:t>参与高水平学术成果研究，撰写相关论文，发表在SSCI一区、二区等高水平旅游与休闲类学术期刊上，为旅游管理学科建设发挥了专业教育的作用。</w:t>
      </w:r>
    </w:p>
    <w:p>
      <w:pPr>
        <w:spacing w:before="124" w:beforeLines="40" w:line="360" w:lineRule="auto"/>
        <w:rPr>
          <w:rFonts w:ascii="宋体" w:hAnsi="宋体" w:cs="宋体"/>
          <w:b/>
          <w:bCs/>
          <w:sz w:val="28"/>
          <w:szCs w:val="28"/>
        </w:rPr>
      </w:pPr>
      <w:r>
        <w:rPr>
          <w:rFonts w:hint="eastAsia" w:ascii="宋体" w:hAnsi="宋体" w:cs="宋体"/>
          <w:b/>
          <w:bCs/>
          <w:sz w:val="28"/>
          <w:szCs w:val="28"/>
        </w:rPr>
        <w:t>（二）教师队伍建设</w:t>
      </w:r>
    </w:p>
    <w:p>
      <w:pPr>
        <w:spacing w:line="360" w:lineRule="auto"/>
        <w:ind w:firstLine="482" w:firstLineChars="200"/>
        <w:rPr>
          <w:rFonts w:ascii="宋体" w:hAnsi="宋体" w:cs="宋体"/>
          <w:sz w:val="24"/>
          <w:szCs w:val="24"/>
        </w:rPr>
      </w:pPr>
      <w:r>
        <w:rPr>
          <w:rFonts w:hint="eastAsia" w:ascii="宋体" w:hAnsi="宋体" w:cs="宋体"/>
          <w:b/>
          <w:bCs/>
          <w:sz w:val="24"/>
          <w:szCs w:val="24"/>
        </w:rPr>
        <w:t>一是强化制度建设。</w:t>
      </w:r>
      <w:r>
        <w:rPr>
          <w:rFonts w:hint="eastAsia" w:ascii="宋体" w:hAnsi="宋体" w:cs="宋体"/>
          <w:sz w:val="24"/>
          <w:szCs w:val="24"/>
        </w:rPr>
        <w:t>按照研究型大学研究生培养要求，学院建立了“双师型”教师资格准入、任用管理制度。</w:t>
      </w:r>
    </w:p>
    <w:p>
      <w:pPr>
        <w:spacing w:line="360" w:lineRule="auto"/>
        <w:ind w:firstLine="482" w:firstLineChars="200"/>
        <w:rPr>
          <w:rFonts w:ascii="宋体" w:hAnsi="宋体" w:cs="宋体"/>
          <w:sz w:val="24"/>
          <w:szCs w:val="24"/>
        </w:rPr>
      </w:pPr>
      <w:r>
        <w:rPr>
          <w:rFonts w:hint="eastAsia" w:ascii="宋体" w:hAnsi="宋体" w:cs="宋体"/>
          <w:b/>
          <w:bCs/>
          <w:sz w:val="24"/>
          <w:szCs w:val="24"/>
        </w:rPr>
        <w:t>二是加强团队建设。</w:t>
      </w:r>
      <w:r>
        <w:rPr>
          <w:rFonts w:hint="eastAsia" w:ascii="宋体" w:hAnsi="宋体" w:cs="宋体"/>
          <w:sz w:val="24"/>
          <w:szCs w:val="24"/>
        </w:rPr>
        <w:t>聚焦文旅行业战略重点领域组建教师教学创新团队，推动围绕旅游扶贫、智慧旅游等新兴特色方向的模块化课程、项目式教学创新。</w:t>
      </w:r>
    </w:p>
    <w:p>
      <w:pPr>
        <w:spacing w:line="360" w:lineRule="auto"/>
        <w:ind w:firstLine="482" w:firstLineChars="200"/>
        <w:rPr>
          <w:rFonts w:ascii="宋体" w:hAnsi="宋体" w:cs="宋体"/>
          <w:sz w:val="24"/>
          <w:szCs w:val="24"/>
        </w:rPr>
      </w:pPr>
      <w:r>
        <w:rPr>
          <w:rFonts w:hint="eastAsia" w:ascii="宋体" w:hAnsi="宋体" w:cs="宋体"/>
          <w:b/>
          <w:bCs/>
          <w:sz w:val="24"/>
          <w:szCs w:val="24"/>
        </w:rPr>
        <w:t>三是落实全员培训。</w:t>
      </w:r>
      <w:r>
        <w:rPr>
          <w:rFonts w:hint="eastAsia" w:ascii="宋体" w:hAnsi="宋体" w:cs="宋体"/>
          <w:sz w:val="24"/>
          <w:szCs w:val="24"/>
        </w:rPr>
        <w:t>实施教师境内外访学、行业培训计划，分年度、分批次选派教师赴文旅企业、管理部门轮训，探索建立了新教师教育见习+企业实践制度。</w:t>
      </w:r>
    </w:p>
    <w:p>
      <w:pPr>
        <w:spacing w:line="360" w:lineRule="auto"/>
        <w:ind w:firstLine="482" w:firstLineChars="200"/>
        <w:rPr>
          <w:rFonts w:ascii="宋体" w:hAnsi="宋体" w:cs="宋体"/>
          <w:sz w:val="24"/>
          <w:szCs w:val="24"/>
        </w:rPr>
      </w:pPr>
      <w:r>
        <w:rPr>
          <w:rFonts w:hint="eastAsia" w:ascii="宋体" w:hAnsi="宋体" w:cs="宋体"/>
          <w:b/>
          <w:bCs/>
          <w:sz w:val="24"/>
          <w:szCs w:val="24"/>
        </w:rPr>
        <w:t>四是构建合作共同体。</w:t>
      </w:r>
      <w:r>
        <w:rPr>
          <w:rFonts w:hint="eastAsia" w:ascii="宋体" w:hAnsi="宋体" w:cs="宋体"/>
          <w:sz w:val="24"/>
          <w:szCs w:val="24"/>
        </w:rPr>
        <w:t>以校企共建、党建合创等方式，与智慧文旅、规划策划、新业态企业课程共创，资源共享，完善“固定岗+流动岗”资源配置新机制，建立培训基地、实习基地、教学基地。</w:t>
      </w:r>
    </w:p>
    <w:p>
      <w:pPr>
        <w:spacing w:before="124" w:beforeLines="40" w:line="360" w:lineRule="auto"/>
        <w:rPr>
          <w:rFonts w:ascii="宋体" w:hAnsi="宋体" w:cs="宋体"/>
          <w:b/>
          <w:bCs/>
          <w:sz w:val="28"/>
          <w:szCs w:val="28"/>
        </w:rPr>
      </w:pPr>
      <w:r>
        <w:rPr>
          <w:rFonts w:hint="eastAsia" w:ascii="宋体" w:hAnsi="宋体" w:cs="宋体"/>
          <w:b/>
          <w:bCs/>
          <w:sz w:val="28"/>
          <w:szCs w:val="28"/>
        </w:rPr>
        <w:t>（三）科学研究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1.科研动态方面</w:t>
      </w:r>
    </w:p>
    <w:p>
      <w:pPr>
        <w:spacing w:line="360" w:lineRule="auto"/>
        <w:ind w:firstLine="480" w:firstLineChars="200"/>
        <w:rPr>
          <w:rFonts w:ascii="宋体" w:hAnsi="宋体" w:cs="宋体"/>
          <w:sz w:val="24"/>
          <w:szCs w:val="24"/>
        </w:rPr>
      </w:pPr>
      <w:r>
        <w:rPr>
          <w:rFonts w:hint="eastAsia" w:ascii="宋体" w:hAnsi="宋体" w:cs="宋体"/>
          <w:sz w:val="24"/>
          <w:szCs w:val="24"/>
        </w:rPr>
        <w:t>2020至2021年度，本学位点专业教师在科研论文发表、科研项目申请等方面取得了丰硕的成果。在C级及以上学术刊物发表科研论文共计52篇，其中， A1区17篇，A2区14篇，B刊14篇。申请到的各类科研项目共计20项，其中国家社科基金和国家自然科学基金5项，教育部项目1项，省级项目1项。旅游专业硕士学位点已经形成了良好的学术氛围，本硕博学生发表成果量逐年增长，涌现出一批标杆学生。本科学生张晓萱的全英文论文，被SSCI(Q2)收录。刘昕怡硕博期间以一作或通讯作者身份发表学术期刊论文21篇，其中SSCI收录论文16篇。2021年以全校排名第二的身份获得了四川大学“学术之星十佳”称号。旅游学院研究学术沙龙活动继续举办，已经举办的有：主题酒店现状与发展；“互联网+”背景下的酒店营销创新；新时期酒店管理的价值重塑；未来旅游的新资源、新传播、新客户、新时空；文旅资源跨界与创新基于多元数据的旅游研究；旅游投资的理论与实践探索。加强和国外合作，和澳大利亚爱迪思克文大学共享教学资源。</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2.科研平台</w:t>
      </w:r>
    </w:p>
    <w:p>
      <w:pPr>
        <w:spacing w:line="360" w:lineRule="auto"/>
        <w:ind w:firstLine="480" w:firstLineChars="200"/>
        <w:rPr>
          <w:rFonts w:ascii="宋体" w:hAnsi="宋体" w:cs="宋体"/>
          <w:sz w:val="24"/>
          <w:szCs w:val="24"/>
        </w:rPr>
      </w:pPr>
      <w:r>
        <w:rPr>
          <w:rFonts w:hint="eastAsia" w:ascii="宋体" w:hAnsi="宋体" w:cs="宋体"/>
          <w:sz w:val="24"/>
          <w:szCs w:val="24"/>
        </w:rPr>
        <w:t>（1）旅游礼仪与形体实训室：以旅游礼节礼仪及形体教育为重点，重点为学生开设礼仪形体课程，其教学目的在于培养学生的职业素养、提升学生的职业形象。通过形体训练能够塑造学生的优美身体形态，是培养和提高学生综合素质最有效的手段。在旅游礼节礼仪形体实验室中，学生能更直观地接受形体礼仪知识并进行实践。从而更好掌握正确的旅游礼节礼仪知识，通过开展形体及礼仪仪态训练，开展旅游舞蹈的学习及鉴赏，提高学生的综合文化素质。</w:t>
      </w:r>
    </w:p>
    <w:p>
      <w:pPr>
        <w:spacing w:line="360" w:lineRule="auto"/>
        <w:ind w:firstLine="480" w:firstLineChars="200"/>
        <w:rPr>
          <w:rFonts w:ascii="宋体" w:hAnsi="宋体" w:cs="宋体"/>
          <w:sz w:val="24"/>
          <w:szCs w:val="24"/>
        </w:rPr>
      </w:pPr>
      <w:r>
        <w:rPr>
          <w:rFonts w:hint="eastAsia" w:ascii="宋体" w:hAnsi="宋体" w:cs="宋体"/>
          <w:sz w:val="24"/>
          <w:szCs w:val="24"/>
        </w:rPr>
        <w:t>（2）茶文化实验室：以茶文化研究为基础，以开设国际周茶道研习课程为载体，弘扬中国茶文化，将中国茶文化的核心理念“清、静、雅、和”与时代精神相结合，使茶道成为体现时代精神的一种载体，弘扬茶道的“审美”情趣，培育茶道的“高洁”意境，提高学生的风度与品位。茶文化实验室现有红茶，绿茶，白茶，黑茶 黄茶，让学生了解和学习博大精深的中国茶文化，了解中国茶史，学习有关茶具、茶礼、烹茶、品茶的基本知识，体验茶艺的魅力。</w:t>
      </w:r>
    </w:p>
    <w:p>
      <w:pPr>
        <w:spacing w:line="360" w:lineRule="auto"/>
        <w:ind w:firstLine="480" w:firstLineChars="200"/>
        <w:rPr>
          <w:rFonts w:ascii="宋体" w:hAnsi="宋体" w:cs="宋体"/>
          <w:sz w:val="24"/>
          <w:szCs w:val="24"/>
        </w:rPr>
      </w:pPr>
      <w:r>
        <w:rPr>
          <w:rFonts w:hint="eastAsia" w:ascii="宋体" w:hAnsi="宋体" w:cs="宋体"/>
          <w:sz w:val="24"/>
          <w:szCs w:val="24"/>
        </w:rPr>
        <w:t>（3）红酒旅游实验室：以旅游学院红酒旅游研究为基础，结合国际周红酒品鉴课程的开设，推动红酒相关研究，普及红酒基本常识，挖掘红酒内在文化。重点开展红酒课程教学、科研活动、红酒讲座、学术交流、展示等，普及酒文化的要义，为师生、企业、学者搭建交流共享的平台，使学生初步了解葡萄酒的品鉴知识，掌握各类鸡尾酒及饮料的调制，学习酒文化及品酒礼仪。</w:t>
      </w:r>
    </w:p>
    <w:p>
      <w:pPr>
        <w:spacing w:line="360" w:lineRule="auto"/>
        <w:ind w:firstLine="480" w:firstLineChars="200"/>
        <w:rPr>
          <w:rFonts w:ascii="宋体" w:hAnsi="宋体" w:cs="宋体"/>
          <w:sz w:val="24"/>
          <w:szCs w:val="24"/>
        </w:rPr>
      </w:pPr>
      <w:r>
        <w:rPr>
          <w:rFonts w:hint="eastAsia" w:ascii="宋体" w:hAnsi="宋体" w:cs="宋体"/>
          <w:sz w:val="24"/>
          <w:szCs w:val="24"/>
        </w:rPr>
        <w:t>（4）数字化景观设计实验室：以120度环屏设备为载体，为旅游景观设计的立体呈现提供支撑，重点服务于旅游景观设计课程的开设以及旅游景观设计研究，其开展的数字化旅游模拟研究，将系统中的游客视为智能体（Agent），具有感知和决策的能力，重点研究游客-景区系统间的交互关系，实现景区预先管控和可视化管理，提升景区科学管理水平。</w:t>
      </w:r>
    </w:p>
    <w:p>
      <w:pPr>
        <w:spacing w:line="360" w:lineRule="auto"/>
        <w:ind w:firstLine="480" w:firstLineChars="200"/>
        <w:rPr>
          <w:rFonts w:ascii="宋体" w:hAnsi="宋体" w:cs="宋体"/>
          <w:sz w:val="24"/>
          <w:szCs w:val="24"/>
        </w:rPr>
      </w:pPr>
      <w:r>
        <w:rPr>
          <w:rFonts w:hint="eastAsia" w:ascii="宋体" w:hAnsi="宋体" w:cs="宋体"/>
          <w:sz w:val="24"/>
          <w:szCs w:val="24"/>
        </w:rPr>
        <w:t>（5）旅游信息工程实验室：综合集成了西部旅游空间地理信息数据和社会经济数据，收集、处理和集成现有植被类型、土壤类型、地形地貌等地表参数专题数据库。旅游信息工程实验室以成都市主要景区、公园、城郊农作物种植区等建立观测点，选择具有较高观赏价值的典型乔木、典型灌木以及典型草本植物开展长期观测，通过室内实验进行综合分析，为旅游研究提供支撑。</w:t>
      </w:r>
    </w:p>
    <w:p>
      <w:pPr>
        <w:spacing w:line="360" w:lineRule="auto"/>
        <w:ind w:firstLine="480" w:firstLineChars="200"/>
        <w:rPr>
          <w:rFonts w:ascii="宋体" w:hAnsi="宋体" w:cs="宋体"/>
          <w:sz w:val="24"/>
          <w:szCs w:val="24"/>
        </w:rPr>
      </w:pPr>
      <w:r>
        <w:rPr>
          <w:rFonts w:hint="eastAsia" w:ascii="宋体" w:hAnsi="宋体" w:cs="宋体"/>
          <w:sz w:val="24"/>
          <w:szCs w:val="24"/>
        </w:rPr>
        <w:t>（6）旅游行为学实验室：又称“Mobile Consumer Data Science” 实验室，由四川大学商学院和旅游学院共同组建。实验室于2016年12月筹建，2017年6月正式投入使用。实验室充分利用商学院和旅游学院的实验室平台，加强科研合作，促进双方教师在消费者和游客行为研究领域的合作研究、合作申请项目、合作发表论文、合作组织学术会议，促进学科发展。实验室主要开展消费者和游客的眼动注意研究、移动互联网环境下消费者和游客行为研究。实验室由国家自科优秀青年方正教授牵头组建，由黄鹂教授负责实验室管理工作。实验室研究团队由四川大学旅游学院、商学院跨学院合作搭建。</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3.学术期刊</w:t>
      </w:r>
    </w:p>
    <w:p>
      <w:pPr>
        <w:spacing w:line="360" w:lineRule="auto"/>
        <w:ind w:firstLine="480" w:firstLineChars="200"/>
        <w:rPr>
          <w:rFonts w:ascii="宋体" w:hAnsi="宋体" w:cs="宋体"/>
          <w:sz w:val="24"/>
          <w:szCs w:val="24"/>
        </w:rPr>
      </w:pPr>
      <w:r>
        <w:rPr>
          <w:rFonts w:hint="eastAsia" w:ascii="宋体" w:hAnsi="宋体" w:cs="宋体"/>
          <w:sz w:val="24"/>
          <w:szCs w:val="24"/>
        </w:rPr>
        <w:t>我院主编的全英文期刊International Journal of Tourism Anthropology ，目前已被9种国际数据库检索。该期刊是我国第一本旅游类全英文专业学术期刊，由我院程励教授担任主编，该刊在英国出版并面向世界发行。《旅游人类学国际学报》编委由40余位国际一流知名旅游学者组成，期刊创刊以来，始终坚持高质量办刊目标，所有投稿论文均必须按照国际规范进行国际同行匿名评审，98%以上的发表论文来自北美及欧洲的高水平研究机构。《旅游人类学国际学报》被Scopus数据库收录。</w:t>
      </w:r>
    </w:p>
    <w:p>
      <w:pPr>
        <w:spacing w:before="124" w:beforeLines="40" w:line="360" w:lineRule="auto"/>
        <w:rPr>
          <w:rFonts w:ascii="宋体" w:hAnsi="宋体" w:cs="宋体"/>
          <w:b/>
          <w:bCs/>
          <w:sz w:val="28"/>
          <w:szCs w:val="28"/>
        </w:rPr>
      </w:pPr>
      <w:r>
        <w:rPr>
          <w:rFonts w:hint="eastAsia" w:ascii="宋体" w:hAnsi="宋体" w:cs="宋体"/>
          <w:b/>
          <w:bCs/>
          <w:sz w:val="28"/>
          <w:szCs w:val="28"/>
        </w:rPr>
        <w:t>（四）传承创新优秀文化</w:t>
      </w:r>
    </w:p>
    <w:p>
      <w:pPr>
        <w:spacing w:line="360" w:lineRule="auto"/>
        <w:ind w:firstLine="480" w:firstLineChars="200"/>
        <w:rPr>
          <w:rFonts w:ascii="宋体" w:hAnsi="宋体" w:cs="宋体"/>
          <w:sz w:val="24"/>
          <w:szCs w:val="24"/>
        </w:rPr>
      </w:pPr>
      <w:r>
        <w:rPr>
          <w:rFonts w:hint="eastAsia" w:ascii="宋体" w:hAnsi="宋体" w:cs="宋体"/>
          <w:sz w:val="24"/>
          <w:szCs w:val="24"/>
        </w:rPr>
        <w:t>推进校史文化育人。四川大学开设《校史文化》公共选修课，编辑出版校史课程教材《四川大学：历史•精神•使命》。在开展校史专题研究的基础上，出版校史图书数十本，面向在校生免费发放。实施学校老建筑保护工程和校史建筑建设工程，先后完成历史文化长廊和江安校区川大英烈碑建设，让校史文化融入校园环境。推进校史网络化工程，开设“川大记忆”和“校史展览馆”网上专栏，将现有馆藏图片、视频、书籍、课堂笔记、教案和主题展览内容通过网络展现出来。开发兼具视频展示、自助讲解、自助点播等功能的校史展览馆数字服务系统，建设网上校史知识趣味答题系统“校史答题王”。</w:t>
      </w:r>
    </w:p>
    <w:p>
      <w:pPr>
        <w:spacing w:line="360" w:lineRule="auto"/>
        <w:ind w:firstLine="480" w:firstLineChars="200"/>
        <w:rPr>
          <w:rFonts w:ascii="宋体" w:hAnsi="宋体" w:cs="宋体"/>
          <w:sz w:val="24"/>
          <w:szCs w:val="24"/>
        </w:rPr>
      </w:pPr>
      <w:r>
        <w:rPr>
          <w:rFonts w:hint="eastAsia" w:ascii="宋体" w:hAnsi="宋体" w:cs="宋体"/>
          <w:sz w:val="24"/>
          <w:szCs w:val="24"/>
        </w:rPr>
        <w:t>扩大校史文化影响。以校史文化为切入点建设成都市武侯区爱国主义教育基地和省级哲学社会科学普及基地，开办新中国成立、抗震救灾、抗战胜利等专题校史展览，年均接待参观者3万余人次。加大校史文献宣传力度，在《四川大学报》长期开设“人文川大”专栏，举办校史校情知识讲座、校史知识竞赛等活动。开展“华西都市报—四川大学文化周”活动，与商务印书馆等联合开展纪念著名校友系列活动。</w:t>
      </w:r>
    </w:p>
    <w:p>
      <w:pPr>
        <w:spacing w:before="124" w:beforeLines="40" w:line="360" w:lineRule="auto"/>
        <w:rPr>
          <w:rFonts w:ascii="宋体" w:hAnsi="宋体" w:cs="宋体"/>
          <w:b/>
          <w:bCs/>
          <w:sz w:val="28"/>
          <w:szCs w:val="28"/>
        </w:rPr>
      </w:pPr>
      <w:r>
        <w:rPr>
          <w:rFonts w:hint="eastAsia" w:ascii="宋体" w:hAnsi="宋体" w:cs="宋体"/>
          <w:b/>
          <w:bCs/>
          <w:sz w:val="28"/>
          <w:szCs w:val="28"/>
        </w:rPr>
        <w:t>（五）国际合作交流等方面的改革创新情况</w:t>
      </w:r>
    </w:p>
    <w:p>
      <w:pPr>
        <w:spacing w:line="360" w:lineRule="auto"/>
        <w:ind w:firstLine="482" w:firstLineChars="200"/>
        <w:rPr>
          <w:rFonts w:ascii="宋体" w:hAnsi="宋体" w:cs="宋体"/>
          <w:sz w:val="24"/>
          <w:szCs w:val="24"/>
        </w:rPr>
      </w:pPr>
      <w:r>
        <w:rPr>
          <w:rFonts w:hint="eastAsia" w:ascii="宋体" w:hAnsi="宋体" w:cs="宋体"/>
          <w:b/>
          <w:bCs/>
          <w:sz w:val="24"/>
          <w:szCs w:val="24"/>
        </w:rPr>
        <w:t>1.开设博士生导师短期出国交流项目</w:t>
      </w:r>
    </w:p>
    <w:p>
      <w:pPr>
        <w:spacing w:line="360" w:lineRule="auto"/>
        <w:ind w:firstLine="480" w:firstLineChars="200"/>
        <w:rPr>
          <w:rFonts w:ascii="宋体" w:hAnsi="宋体" w:cs="宋体"/>
          <w:sz w:val="24"/>
          <w:szCs w:val="24"/>
        </w:rPr>
      </w:pPr>
      <w:r>
        <w:rPr>
          <w:rFonts w:hint="eastAsia" w:ascii="宋体" w:hAnsi="宋体" w:cs="宋体"/>
          <w:sz w:val="24"/>
          <w:szCs w:val="24"/>
        </w:rPr>
        <w:t>为进一步推动国家建设高水平大学公派研究生项目实施工作，充分调动博士生导师积极性，保证项目选派质量和留学效益；加强对派出博士生专业学习方面的检查和指导；促进科研合作项目的建立与开展，进一步推动国内外高校学科、人员之间的实质性交流与合作；加强与派出留学人员的联系，为学生按期回国服务奠定基础，开设了博士生导师短期出国交流项目。</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2.海外访学计划</w:t>
      </w:r>
    </w:p>
    <w:p>
      <w:pPr>
        <w:spacing w:line="360" w:lineRule="auto"/>
        <w:ind w:firstLine="480" w:firstLineChars="200"/>
        <w:rPr>
          <w:rFonts w:ascii="宋体" w:hAnsi="宋体" w:cs="宋体"/>
          <w:sz w:val="24"/>
          <w:szCs w:val="24"/>
        </w:rPr>
      </w:pPr>
      <w:r>
        <w:rPr>
          <w:rFonts w:hint="eastAsia" w:ascii="宋体" w:hAnsi="宋体" w:cs="宋体"/>
          <w:sz w:val="24"/>
          <w:szCs w:val="24"/>
        </w:rPr>
        <w:t>为推进研究生教育的国际化进程，进一步拓宽研究生国际视野，全面提高研究生培养质量，学校在“大川视界”项目中特设立研究生海外访学计划专项经费，资助研究生以多种形式参加国际学术交流活动。</w:t>
      </w:r>
    </w:p>
    <w:p>
      <w:pPr>
        <w:spacing w:line="360" w:lineRule="auto"/>
        <w:rPr>
          <w:rFonts w:ascii="黑体" w:hAnsi="黑体" w:eastAsia="黑体" w:cs="黑体"/>
          <w:sz w:val="32"/>
          <w:szCs w:val="32"/>
        </w:rPr>
      </w:pPr>
    </w:p>
    <w:p>
      <w:pPr>
        <w:spacing w:line="360" w:lineRule="auto"/>
        <w:rPr>
          <w:rFonts w:ascii="黑体" w:hAnsi="黑体" w:eastAsia="黑体" w:cs="黑体"/>
          <w:sz w:val="32"/>
          <w:szCs w:val="32"/>
        </w:rPr>
      </w:pPr>
      <w:r>
        <w:rPr>
          <w:rFonts w:hint="eastAsia" w:ascii="黑体" w:hAnsi="黑体" w:eastAsia="黑体" w:cs="黑体"/>
          <w:sz w:val="32"/>
          <w:szCs w:val="32"/>
        </w:rPr>
        <w:t>五、教育质量评估与分析</w:t>
      </w:r>
    </w:p>
    <w:p>
      <w:pPr>
        <w:spacing w:line="360" w:lineRule="auto"/>
        <w:ind w:firstLine="480" w:firstLineChars="200"/>
        <w:rPr>
          <w:rFonts w:ascii="宋体" w:hAnsi="宋体" w:cs="宋体"/>
          <w:sz w:val="24"/>
          <w:szCs w:val="24"/>
        </w:rPr>
      </w:pPr>
      <w:r>
        <w:rPr>
          <w:rFonts w:hint="eastAsia" w:ascii="宋体" w:hAnsi="宋体" w:cs="宋体"/>
          <w:sz w:val="24"/>
          <w:szCs w:val="24"/>
        </w:rPr>
        <w:t>1.研究生生源质量亟需提升；</w:t>
      </w:r>
    </w:p>
    <w:p>
      <w:pPr>
        <w:spacing w:line="360" w:lineRule="auto"/>
        <w:ind w:firstLine="480" w:firstLineChars="200"/>
        <w:rPr>
          <w:rFonts w:ascii="宋体" w:hAnsi="宋体" w:cs="宋体"/>
          <w:sz w:val="24"/>
          <w:szCs w:val="24"/>
        </w:rPr>
      </w:pPr>
      <w:r>
        <w:rPr>
          <w:rFonts w:hint="eastAsia" w:ascii="宋体" w:hAnsi="宋体" w:cs="宋体"/>
          <w:sz w:val="24"/>
          <w:szCs w:val="24"/>
        </w:rPr>
        <w:t>2.研究生学位论文水平有待提高；</w:t>
      </w:r>
    </w:p>
    <w:p>
      <w:pPr>
        <w:spacing w:line="360" w:lineRule="auto"/>
        <w:ind w:firstLine="480" w:firstLineChars="200"/>
        <w:rPr>
          <w:rFonts w:ascii="宋体" w:hAnsi="宋体" w:cs="宋体"/>
          <w:sz w:val="24"/>
          <w:szCs w:val="24"/>
        </w:rPr>
      </w:pPr>
      <w:r>
        <w:rPr>
          <w:rFonts w:hint="eastAsia" w:ascii="宋体" w:hAnsi="宋体" w:cs="宋体"/>
          <w:sz w:val="24"/>
          <w:szCs w:val="24"/>
        </w:rPr>
        <w:t>3.研究生国际合作交流需要增强；</w:t>
      </w:r>
    </w:p>
    <w:p>
      <w:pPr>
        <w:spacing w:line="360" w:lineRule="auto"/>
        <w:ind w:firstLine="480" w:firstLineChars="200"/>
        <w:rPr>
          <w:rFonts w:ascii="宋体" w:hAnsi="宋体" w:cs="宋体"/>
          <w:sz w:val="24"/>
          <w:szCs w:val="24"/>
        </w:rPr>
      </w:pPr>
      <w:r>
        <w:rPr>
          <w:rFonts w:hint="eastAsia" w:ascii="宋体" w:hAnsi="宋体" w:cs="宋体"/>
          <w:sz w:val="24"/>
          <w:szCs w:val="24"/>
        </w:rPr>
        <w:t>4.研究生实践基地建设需发挥实质效用不够；</w:t>
      </w:r>
    </w:p>
    <w:p>
      <w:pPr>
        <w:spacing w:line="360" w:lineRule="auto"/>
        <w:ind w:firstLine="480" w:firstLineChars="200"/>
        <w:rPr>
          <w:rFonts w:ascii="宋体" w:hAnsi="宋体" w:cs="宋体"/>
          <w:sz w:val="24"/>
          <w:szCs w:val="24"/>
        </w:rPr>
      </w:pPr>
      <w:r>
        <w:rPr>
          <w:rFonts w:hint="eastAsia" w:ascii="宋体" w:hAnsi="宋体" w:cs="宋体"/>
          <w:sz w:val="24"/>
          <w:szCs w:val="24"/>
        </w:rPr>
        <w:t>5.个别研究生学位论文研究内容与学科结合不够紧密；</w:t>
      </w:r>
    </w:p>
    <w:p>
      <w:pPr>
        <w:spacing w:line="360" w:lineRule="auto"/>
        <w:ind w:firstLine="480" w:firstLineChars="200"/>
        <w:rPr>
          <w:rFonts w:ascii="宋体" w:hAnsi="宋体" w:cs="宋体"/>
          <w:sz w:val="24"/>
          <w:szCs w:val="24"/>
        </w:rPr>
      </w:pPr>
      <w:r>
        <w:rPr>
          <w:rFonts w:hint="eastAsia" w:ascii="宋体" w:hAnsi="宋体" w:cs="宋体"/>
          <w:sz w:val="24"/>
          <w:szCs w:val="24"/>
        </w:rPr>
        <w:t>6.学科方向凝练不够，学科建设标志性成果产出尚需加强，人才队伍与培养招生数偏少。</w:t>
      </w:r>
    </w:p>
    <w:p>
      <w:pPr>
        <w:spacing w:line="360" w:lineRule="auto"/>
        <w:ind w:firstLine="480" w:firstLineChars="200"/>
        <w:rPr>
          <w:rFonts w:ascii="宋体" w:hAnsi="宋体" w:cs="宋体"/>
          <w:sz w:val="24"/>
          <w:szCs w:val="24"/>
        </w:rPr>
      </w:pPr>
    </w:p>
    <w:p>
      <w:pPr>
        <w:spacing w:line="360" w:lineRule="auto"/>
        <w:rPr>
          <w:rFonts w:ascii="黑体" w:hAnsi="黑体" w:eastAsia="黑体" w:cs="黑体"/>
          <w:sz w:val="32"/>
          <w:szCs w:val="32"/>
        </w:rPr>
      </w:pPr>
      <w:r>
        <w:rPr>
          <w:rFonts w:hint="eastAsia" w:ascii="黑体" w:hAnsi="黑体" w:eastAsia="黑体" w:cs="黑体"/>
          <w:sz w:val="32"/>
          <w:szCs w:val="32"/>
        </w:rPr>
        <w:t>六、改进措施</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1.建立以提升职业能力为导向的研究生培养模式</w:t>
      </w:r>
    </w:p>
    <w:p>
      <w:pPr>
        <w:spacing w:line="360" w:lineRule="auto"/>
        <w:ind w:firstLine="480" w:firstLineChars="200"/>
        <w:rPr>
          <w:rFonts w:ascii="宋体" w:hAnsi="宋体" w:cs="宋体"/>
          <w:sz w:val="24"/>
          <w:szCs w:val="24"/>
        </w:rPr>
      </w:pPr>
      <w:r>
        <w:rPr>
          <w:rFonts w:hint="eastAsia" w:ascii="宋体" w:hAnsi="宋体" w:cs="宋体"/>
          <w:sz w:val="24"/>
          <w:szCs w:val="24"/>
        </w:rPr>
        <w:t>面向特定职业领域，培养适应专业岗位的综合素质，形成产学结合的培养模式。引导和鼓励行业企业全方位参与人才培养，充分发挥行业和专业组织在培养标准制定、教学改革等方面的指导作用，建立培养单位与行业企业相结合的专业化教师团队和联合培养基地。</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2.加强实践基地建设</w:t>
      </w:r>
    </w:p>
    <w:p>
      <w:pPr>
        <w:spacing w:line="360" w:lineRule="auto"/>
        <w:ind w:firstLine="480" w:firstLineChars="200"/>
        <w:rPr>
          <w:rFonts w:ascii="宋体" w:hAnsi="宋体" w:cs="宋体"/>
          <w:sz w:val="24"/>
          <w:szCs w:val="24"/>
        </w:rPr>
      </w:pPr>
      <w:r>
        <w:rPr>
          <w:rFonts w:hint="eastAsia" w:ascii="宋体" w:hAnsi="宋体" w:cs="宋体"/>
          <w:sz w:val="24"/>
          <w:szCs w:val="24"/>
        </w:rPr>
        <w:t>建设一批研究生教学实践基地，全方位保障专业学位研究生培养质量，强化研究生的实践能力和创业能力培养。</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3.加强课程建设</w:t>
      </w:r>
    </w:p>
    <w:p>
      <w:pPr>
        <w:spacing w:line="360" w:lineRule="auto"/>
        <w:ind w:firstLine="480" w:firstLineChars="200"/>
        <w:rPr>
          <w:rFonts w:ascii="宋体" w:hAnsi="宋体" w:cs="宋体"/>
          <w:sz w:val="24"/>
          <w:szCs w:val="24"/>
        </w:rPr>
      </w:pPr>
      <w:r>
        <w:rPr>
          <w:rFonts w:hint="eastAsia" w:ascii="宋体" w:hAnsi="宋体" w:cs="宋体"/>
          <w:sz w:val="24"/>
          <w:szCs w:val="24"/>
        </w:rPr>
        <w:t>重视发挥课程教学在研究生培养中的作用。建立完善培养单位课程体系改进、优化机制，规范课程设置审查，加强教学质量评价。构建符合学位特点的课程体系，改革教学内容和方式，加强案例教学，探索不同形式的实践教学。进一步推进校外行业导师参与研究生培养的过程管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4.加强党建引领</w:t>
      </w:r>
    </w:p>
    <w:p>
      <w:pPr>
        <w:spacing w:line="360" w:lineRule="auto"/>
        <w:ind w:firstLine="480" w:firstLineChars="200"/>
        <w:rPr>
          <w:rFonts w:ascii="宋体" w:hAnsi="宋体" w:cs="宋体"/>
          <w:sz w:val="24"/>
          <w:szCs w:val="24"/>
        </w:rPr>
      </w:pPr>
      <w:r>
        <w:rPr>
          <w:rFonts w:hint="eastAsia" w:ascii="宋体" w:hAnsi="宋体" w:cs="宋体"/>
          <w:sz w:val="24"/>
          <w:szCs w:val="24"/>
        </w:rPr>
        <w:t>充分发挥省级“三型”党支部、样板党支部的先锋模范作用，扎实推进全国“百个研究生样板党支部”的建设工作，通过党建带动科教融合、产教融合，落实立德树人根本任务。</w:t>
      </w:r>
    </w:p>
    <w:p>
      <w:pPr>
        <w:spacing w:line="360" w:lineRule="auto"/>
        <w:ind w:firstLine="482" w:firstLineChars="200"/>
        <w:rPr>
          <w:rFonts w:ascii="宋体" w:hAnsi="宋体" w:cs="宋体"/>
          <w:sz w:val="24"/>
          <w:szCs w:val="24"/>
        </w:rPr>
      </w:pPr>
      <w:r>
        <w:rPr>
          <w:rFonts w:hint="eastAsia" w:ascii="宋体" w:hAnsi="宋体" w:cs="宋体"/>
          <w:b/>
          <w:bCs/>
          <w:sz w:val="24"/>
          <w:szCs w:val="24"/>
        </w:rPr>
        <w:t>5.完善课程体系建设</w:t>
      </w:r>
    </w:p>
    <w:p>
      <w:pPr>
        <w:spacing w:line="360" w:lineRule="auto"/>
        <w:ind w:firstLine="480" w:firstLineChars="200"/>
        <w:rPr>
          <w:rFonts w:ascii="宋体" w:hAnsi="宋体" w:cs="宋体"/>
          <w:sz w:val="24"/>
          <w:szCs w:val="24"/>
        </w:rPr>
      </w:pPr>
      <w:r>
        <w:rPr>
          <w:rFonts w:hint="eastAsia" w:ascii="宋体" w:hAnsi="宋体" w:cs="宋体"/>
          <w:sz w:val="24"/>
          <w:szCs w:val="24"/>
        </w:rPr>
        <w:t>进一步改进课程设置，滚动更新课程，开设全英课程，以适应新时代中国特色社会主义发展需要。拓展和境内外学术机构的合作交流渠道，增强国际交流。</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6.强化校企合作</w:t>
      </w:r>
    </w:p>
    <w:p>
      <w:pPr>
        <w:spacing w:line="360" w:lineRule="auto"/>
        <w:ind w:firstLine="480" w:firstLineChars="200"/>
        <w:rPr>
          <w:rFonts w:ascii="宋体" w:hAnsi="宋体" w:cs="宋体"/>
          <w:sz w:val="24"/>
          <w:szCs w:val="24"/>
        </w:rPr>
      </w:pPr>
      <w:r>
        <w:rPr>
          <w:rFonts w:hint="eastAsia" w:ascii="宋体" w:hAnsi="宋体" w:cs="宋体"/>
          <w:sz w:val="24"/>
          <w:szCs w:val="24"/>
        </w:rPr>
        <w:t>建设一批研究生教学实践基地，全方位保障研究生培养质量。</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7.加大招生宣传力度</w:t>
      </w:r>
    </w:p>
    <w:p>
      <w:pPr>
        <w:spacing w:line="360" w:lineRule="auto"/>
        <w:ind w:firstLine="480" w:firstLineChars="200"/>
        <w:rPr>
          <w:rFonts w:ascii="宋体" w:hAnsi="宋体" w:cs="宋体"/>
          <w:b/>
          <w:bCs/>
          <w:sz w:val="24"/>
          <w:szCs w:val="24"/>
        </w:rPr>
      </w:pPr>
      <w:r>
        <w:rPr>
          <w:rFonts w:hint="eastAsia" w:ascii="宋体" w:hAnsi="宋体" w:cs="宋体"/>
          <w:sz w:val="24"/>
          <w:szCs w:val="24"/>
        </w:rPr>
        <w:t>全方位、多渠道吸引优质生源报考，稳步提升研究生生源质量，扩大研究生培养规模。</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8.强化学术研究，提升科研水平</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依据校院有关学科成果资助和奖励的规定，加大学科成员在成果出版、科研项目、在职培训、学术交流等方面的资助力度。鼓励教师积极申报各级各类课题，2022年国家课题申报工作上已举行了多轮论证会，力争获得2022国家社科基金项目立项。组织学位点教师申报2022年各类社科规划项目，鼓励教师们积极申报各类科研和教学成果奖；提高论文发表质量和层次，力争在“三报一刊”及国家权威期刊杂志发表高质量理论文章，在权威出版社出版学术专著或教材。</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9.强化学术引领，提升培养质量</w:t>
      </w:r>
    </w:p>
    <w:p>
      <w:pPr>
        <w:spacing w:line="360" w:lineRule="auto"/>
        <w:ind w:firstLine="480" w:firstLineChars="200"/>
        <w:rPr>
          <w:rFonts w:ascii="宋体" w:hAnsi="宋体" w:cs="宋体"/>
          <w:sz w:val="24"/>
          <w:szCs w:val="24"/>
        </w:rPr>
      </w:pPr>
      <w:r>
        <w:rPr>
          <w:rFonts w:hint="eastAsia" w:ascii="宋体" w:hAnsi="宋体" w:cs="宋体"/>
          <w:sz w:val="24"/>
          <w:szCs w:val="24"/>
        </w:rPr>
        <w:t>在研究生招生与培养的各个具体环节中，强化学术引领，不断提升培养质量。包括：继续加强课程教学管理、优化课程设置，提高人才培养质量；继续加强研究生的学术训练，鼓励研究生积极参与课题研究、参加各类国内外学术交流；通过奖学金或相关激励机制，鼓励研究生发表高水平学术论文。</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textAlignment w:val="baseline"/>
      <w:rPr>
        <w:rStyle w:val="16"/>
        <w:rFonts w:ascii="Times New Roman" w:hAnsi="Times New Roman"/>
      </w:rPr>
    </w:pPr>
    <w:r>
      <w:rPr>
        <w:rFonts w:eastAsia="方正仿宋简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3D"/>
    <w:rsid w:val="000000A8"/>
    <w:rsid w:val="00001837"/>
    <w:rsid w:val="000035FB"/>
    <w:rsid w:val="00003650"/>
    <w:rsid w:val="00007289"/>
    <w:rsid w:val="00007E58"/>
    <w:rsid w:val="0001232B"/>
    <w:rsid w:val="00012559"/>
    <w:rsid w:val="00012DA8"/>
    <w:rsid w:val="00013E7D"/>
    <w:rsid w:val="00014CD7"/>
    <w:rsid w:val="00016C0F"/>
    <w:rsid w:val="00020EA0"/>
    <w:rsid w:val="000266FD"/>
    <w:rsid w:val="00031DA2"/>
    <w:rsid w:val="00033F2D"/>
    <w:rsid w:val="000342AF"/>
    <w:rsid w:val="00035460"/>
    <w:rsid w:val="00036641"/>
    <w:rsid w:val="00036769"/>
    <w:rsid w:val="00037665"/>
    <w:rsid w:val="000462AC"/>
    <w:rsid w:val="00046C0F"/>
    <w:rsid w:val="00046C18"/>
    <w:rsid w:val="00050CF0"/>
    <w:rsid w:val="00052152"/>
    <w:rsid w:val="00052243"/>
    <w:rsid w:val="000527D9"/>
    <w:rsid w:val="000546C0"/>
    <w:rsid w:val="00054755"/>
    <w:rsid w:val="00054945"/>
    <w:rsid w:val="0005695D"/>
    <w:rsid w:val="00057985"/>
    <w:rsid w:val="0006307E"/>
    <w:rsid w:val="00067362"/>
    <w:rsid w:val="00067622"/>
    <w:rsid w:val="00067701"/>
    <w:rsid w:val="000700CD"/>
    <w:rsid w:val="00071639"/>
    <w:rsid w:val="00072925"/>
    <w:rsid w:val="00076DEF"/>
    <w:rsid w:val="00076EAA"/>
    <w:rsid w:val="000770B0"/>
    <w:rsid w:val="00080DCA"/>
    <w:rsid w:val="00080E5F"/>
    <w:rsid w:val="000822B1"/>
    <w:rsid w:val="00083A55"/>
    <w:rsid w:val="0008643E"/>
    <w:rsid w:val="00086D94"/>
    <w:rsid w:val="00087884"/>
    <w:rsid w:val="000910FC"/>
    <w:rsid w:val="000917ED"/>
    <w:rsid w:val="00091A79"/>
    <w:rsid w:val="000927D7"/>
    <w:rsid w:val="000A119E"/>
    <w:rsid w:val="000A14F6"/>
    <w:rsid w:val="000A2F21"/>
    <w:rsid w:val="000A393E"/>
    <w:rsid w:val="000A457E"/>
    <w:rsid w:val="000A76C2"/>
    <w:rsid w:val="000B1A4F"/>
    <w:rsid w:val="000B1BDB"/>
    <w:rsid w:val="000B2561"/>
    <w:rsid w:val="000B3224"/>
    <w:rsid w:val="000B52C9"/>
    <w:rsid w:val="000B7FDB"/>
    <w:rsid w:val="000C1497"/>
    <w:rsid w:val="000C28B4"/>
    <w:rsid w:val="000C5302"/>
    <w:rsid w:val="000D2C78"/>
    <w:rsid w:val="000D3438"/>
    <w:rsid w:val="000D3CB6"/>
    <w:rsid w:val="000E0952"/>
    <w:rsid w:val="000E117A"/>
    <w:rsid w:val="000E22DC"/>
    <w:rsid w:val="000E2DB1"/>
    <w:rsid w:val="000E3121"/>
    <w:rsid w:val="000E3828"/>
    <w:rsid w:val="000E38C2"/>
    <w:rsid w:val="000E45D5"/>
    <w:rsid w:val="000F0FB2"/>
    <w:rsid w:val="000F34D0"/>
    <w:rsid w:val="000F3EEB"/>
    <w:rsid w:val="0010037F"/>
    <w:rsid w:val="00102B86"/>
    <w:rsid w:val="001049BC"/>
    <w:rsid w:val="00104D00"/>
    <w:rsid w:val="0011271F"/>
    <w:rsid w:val="001156A5"/>
    <w:rsid w:val="00116996"/>
    <w:rsid w:val="00116D3B"/>
    <w:rsid w:val="001170CE"/>
    <w:rsid w:val="00117667"/>
    <w:rsid w:val="00117F63"/>
    <w:rsid w:val="001230A9"/>
    <w:rsid w:val="00123B62"/>
    <w:rsid w:val="00126CB3"/>
    <w:rsid w:val="00126FF4"/>
    <w:rsid w:val="001270FC"/>
    <w:rsid w:val="0012731F"/>
    <w:rsid w:val="00130EBA"/>
    <w:rsid w:val="001312C7"/>
    <w:rsid w:val="001350BA"/>
    <w:rsid w:val="00136438"/>
    <w:rsid w:val="00140563"/>
    <w:rsid w:val="00141360"/>
    <w:rsid w:val="00141753"/>
    <w:rsid w:val="00141CFB"/>
    <w:rsid w:val="0014233C"/>
    <w:rsid w:val="00142969"/>
    <w:rsid w:val="00146ED7"/>
    <w:rsid w:val="00151638"/>
    <w:rsid w:val="00151C51"/>
    <w:rsid w:val="001521E9"/>
    <w:rsid w:val="001561E9"/>
    <w:rsid w:val="00156811"/>
    <w:rsid w:val="00156DB8"/>
    <w:rsid w:val="00162F87"/>
    <w:rsid w:val="001671CE"/>
    <w:rsid w:val="0017144E"/>
    <w:rsid w:val="00172E45"/>
    <w:rsid w:val="001730C8"/>
    <w:rsid w:val="00173A70"/>
    <w:rsid w:val="001745C1"/>
    <w:rsid w:val="001758CC"/>
    <w:rsid w:val="00175B89"/>
    <w:rsid w:val="001771BD"/>
    <w:rsid w:val="0018168A"/>
    <w:rsid w:val="00183E02"/>
    <w:rsid w:val="0018465E"/>
    <w:rsid w:val="00185C8A"/>
    <w:rsid w:val="00186E80"/>
    <w:rsid w:val="00186F4D"/>
    <w:rsid w:val="00191A15"/>
    <w:rsid w:val="001927BA"/>
    <w:rsid w:val="0019324A"/>
    <w:rsid w:val="00193EC2"/>
    <w:rsid w:val="00197694"/>
    <w:rsid w:val="001A21FC"/>
    <w:rsid w:val="001A3598"/>
    <w:rsid w:val="001A36D8"/>
    <w:rsid w:val="001A4160"/>
    <w:rsid w:val="001A521D"/>
    <w:rsid w:val="001A56F4"/>
    <w:rsid w:val="001A68A2"/>
    <w:rsid w:val="001A7E62"/>
    <w:rsid w:val="001B1176"/>
    <w:rsid w:val="001C1A27"/>
    <w:rsid w:val="001C2911"/>
    <w:rsid w:val="001C49D0"/>
    <w:rsid w:val="001C5FED"/>
    <w:rsid w:val="001C6584"/>
    <w:rsid w:val="001D08ED"/>
    <w:rsid w:val="001D0F12"/>
    <w:rsid w:val="001D10DB"/>
    <w:rsid w:val="001D2B40"/>
    <w:rsid w:val="001D52EE"/>
    <w:rsid w:val="001D5415"/>
    <w:rsid w:val="001D56E3"/>
    <w:rsid w:val="001D6CA7"/>
    <w:rsid w:val="001D7C70"/>
    <w:rsid w:val="001E02F6"/>
    <w:rsid w:val="001E255C"/>
    <w:rsid w:val="001E44EE"/>
    <w:rsid w:val="001E45A5"/>
    <w:rsid w:val="001E6F99"/>
    <w:rsid w:val="001E78E2"/>
    <w:rsid w:val="001F12F0"/>
    <w:rsid w:val="001F1C6C"/>
    <w:rsid w:val="001F59D3"/>
    <w:rsid w:val="001F70DF"/>
    <w:rsid w:val="00201789"/>
    <w:rsid w:val="0020230B"/>
    <w:rsid w:val="00203845"/>
    <w:rsid w:val="00203B65"/>
    <w:rsid w:val="00205067"/>
    <w:rsid w:val="00210B62"/>
    <w:rsid w:val="00210B6C"/>
    <w:rsid w:val="0021125A"/>
    <w:rsid w:val="0021231F"/>
    <w:rsid w:val="00212A42"/>
    <w:rsid w:val="0021426E"/>
    <w:rsid w:val="00214565"/>
    <w:rsid w:val="002161F2"/>
    <w:rsid w:val="00216846"/>
    <w:rsid w:val="00216D22"/>
    <w:rsid w:val="002177CA"/>
    <w:rsid w:val="00217F06"/>
    <w:rsid w:val="00221B7E"/>
    <w:rsid w:val="00222341"/>
    <w:rsid w:val="00223E6A"/>
    <w:rsid w:val="00224623"/>
    <w:rsid w:val="0022475C"/>
    <w:rsid w:val="00225D33"/>
    <w:rsid w:val="002261F6"/>
    <w:rsid w:val="00227126"/>
    <w:rsid w:val="002307AE"/>
    <w:rsid w:val="0023132A"/>
    <w:rsid w:val="00233AB5"/>
    <w:rsid w:val="00234C11"/>
    <w:rsid w:val="0023524D"/>
    <w:rsid w:val="00236DD5"/>
    <w:rsid w:val="00237809"/>
    <w:rsid w:val="002410F3"/>
    <w:rsid w:val="002411FB"/>
    <w:rsid w:val="00241B43"/>
    <w:rsid w:val="00242F80"/>
    <w:rsid w:val="00243A00"/>
    <w:rsid w:val="00246494"/>
    <w:rsid w:val="00250663"/>
    <w:rsid w:val="002511B4"/>
    <w:rsid w:val="00252C07"/>
    <w:rsid w:val="002538E8"/>
    <w:rsid w:val="00254140"/>
    <w:rsid w:val="00257D11"/>
    <w:rsid w:val="00260CCA"/>
    <w:rsid w:val="002624D9"/>
    <w:rsid w:val="00263467"/>
    <w:rsid w:val="00270B04"/>
    <w:rsid w:val="00271266"/>
    <w:rsid w:val="002716BF"/>
    <w:rsid w:val="00274D8A"/>
    <w:rsid w:val="0027617C"/>
    <w:rsid w:val="002777CB"/>
    <w:rsid w:val="002805A9"/>
    <w:rsid w:val="002838A0"/>
    <w:rsid w:val="0028729F"/>
    <w:rsid w:val="00293E83"/>
    <w:rsid w:val="00295EC4"/>
    <w:rsid w:val="00295F1A"/>
    <w:rsid w:val="002A08A7"/>
    <w:rsid w:val="002A20A6"/>
    <w:rsid w:val="002A4F06"/>
    <w:rsid w:val="002A7964"/>
    <w:rsid w:val="002B06C7"/>
    <w:rsid w:val="002B2209"/>
    <w:rsid w:val="002B4252"/>
    <w:rsid w:val="002B4472"/>
    <w:rsid w:val="002B53D3"/>
    <w:rsid w:val="002B5B90"/>
    <w:rsid w:val="002B639A"/>
    <w:rsid w:val="002C0B31"/>
    <w:rsid w:val="002C2B5D"/>
    <w:rsid w:val="002C31D7"/>
    <w:rsid w:val="002C3A25"/>
    <w:rsid w:val="002C406B"/>
    <w:rsid w:val="002C60ED"/>
    <w:rsid w:val="002C66A6"/>
    <w:rsid w:val="002D0D63"/>
    <w:rsid w:val="002D0D8D"/>
    <w:rsid w:val="002D1BAF"/>
    <w:rsid w:val="002D4C37"/>
    <w:rsid w:val="002D502D"/>
    <w:rsid w:val="002D6932"/>
    <w:rsid w:val="002E06A6"/>
    <w:rsid w:val="002E174F"/>
    <w:rsid w:val="002E4440"/>
    <w:rsid w:val="002E4C92"/>
    <w:rsid w:val="002E5B1D"/>
    <w:rsid w:val="002E66EC"/>
    <w:rsid w:val="002E7CE3"/>
    <w:rsid w:val="002F0451"/>
    <w:rsid w:val="002F0B30"/>
    <w:rsid w:val="002F37B9"/>
    <w:rsid w:val="002F464C"/>
    <w:rsid w:val="003066B9"/>
    <w:rsid w:val="00306A0A"/>
    <w:rsid w:val="00306D4B"/>
    <w:rsid w:val="003114FB"/>
    <w:rsid w:val="00311C3D"/>
    <w:rsid w:val="00312A0C"/>
    <w:rsid w:val="00315A16"/>
    <w:rsid w:val="00316EFD"/>
    <w:rsid w:val="003171C6"/>
    <w:rsid w:val="00320A34"/>
    <w:rsid w:val="003273E6"/>
    <w:rsid w:val="003274BC"/>
    <w:rsid w:val="00327865"/>
    <w:rsid w:val="0033281C"/>
    <w:rsid w:val="003329B7"/>
    <w:rsid w:val="00334338"/>
    <w:rsid w:val="00334954"/>
    <w:rsid w:val="00335775"/>
    <w:rsid w:val="00342104"/>
    <w:rsid w:val="003440C8"/>
    <w:rsid w:val="0034433D"/>
    <w:rsid w:val="00344393"/>
    <w:rsid w:val="00344559"/>
    <w:rsid w:val="00344F02"/>
    <w:rsid w:val="00345285"/>
    <w:rsid w:val="00345EC1"/>
    <w:rsid w:val="00346FE4"/>
    <w:rsid w:val="00347051"/>
    <w:rsid w:val="00352932"/>
    <w:rsid w:val="00352B66"/>
    <w:rsid w:val="00352E5F"/>
    <w:rsid w:val="00364211"/>
    <w:rsid w:val="00364A62"/>
    <w:rsid w:val="00364F9F"/>
    <w:rsid w:val="0036675D"/>
    <w:rsid w:val="003702D3"/>
    <w:rsid w:val="003727C0"/>
    <w:rsid w:val="003733D2"/>
    <w:rsid w:val="00373B0D"/>
    <w:rsid w:val="00373E3A"/>
    <w:rsid w:val="00374420"/>
    <w:rsid w:val="00376DAA"/>
    <w:rsid w:val="00377812"/>
    <w:rsid w:val="00380037"/>
    <w:rsid w:val="003803BF"/>
    <w:rsid w:val="003804FB"/>
    <w:rsid w:val="00380773"/>
    <w:rsid w:val="00380A44"/>
    <w:rsid w:val="00381566"/>
    <w:rsid w:val="00381581"/>
    <w:rsid w:val="003828C2"/>
    <w:rsid w:val="00382F10"/>
    <w:rsid w:val="00384894"/>
    <w:rsid w:val="003860C8"/>
    <w:rsid w:val="003867A0"/>
    <w:rsid w:val="00386B56"/>
    <w:rsid w:val="00391140"/>
    <w:rsid w:val="003924BF"/>
    <w:rsid w:val="00392EE5"/>
    <w:rsid w:val="00394425"/>
    <w:rsid w:val="003949AC"/>
    <w:rsid w:val="00394E79"/>
    <w:rsid w:val="00394FDB"/>
    <w:rsid w:val="0039579C"/>
    <w:rsid w:val="003A0400"/>
    <w:rsid w:val="003A0C36"/>
    <w:rsid w:val="003A1AE9"/>
    <w:rsid w:val="003A4EA7"/>
    <w:rsid w:val="003A5E6A"/>
    <w:rsid w:val="003A7006"/>
    <w:rsid w:val="003A723F"/>
    <w:rsid w:val="003B092D"/>
    <w:rsid w:val="003B208C"/>
    <w:rsid w:val="003B2130"/>
    <w:rsid w:val="003C1570"/>
    <w:rsid w:val="003C1CC8"/>
    <w:rsid w:val="003C3561"/>
    <w:rsid w:val="003C506E"/>
    <w:rsid w:val="003C6205"/>
    <w:rsid w:val="003C641C"/>
    <w:rsid w:val="003C6592"/>
    <w:rsid w:val="003C71EA"/>
    <w:rsid w:val="003D4169"/>
    <w:rsid w:val="003D4ABE"/>
    <w:rsid w:val="003D4B59"/>
    <w:rsid w:val="003D50AE"/>
    <w:rsid w:val="003D552B"/>
    <w:rsid w:val="003D5C6E"/>
    <w:rsid w:val="003D6246"/>
    <w:rsid w:val="003D6CEA"/>
    <w:rsid w:val="003D7C76"/>
    <w:rsid w:val="003E01AC"/>
    <w:rsid w:val="003E1013"/>
    <w:rsid w:val="003E4D0B"/>
    <w:rsid w:val="003E54B1"/>
    <w:rsid w:val="003E5F13"/>
    <w:rsid w:val="003E624E"/>
    <w:rsid w:val="003E6289"/>
    <w:rsid w:val="003E698A"/>
    <w:rsid w:val="003F16D6"/>
    <w:rsid w:val="003F2777"/>
    <w:rsid w:val="003F3134"/>
    <w:rsid w:val="003F314C"/>
    <w:rsid w:val="003F5FA5"/>
    <w:rsid w:val="003F7C26"/>
    <w:rsid w:val="004000D1"/>
    <w:rsid w:val="0040047A"/>
    <w:rsid w:val="0040054F"/>
    <w:rsid w:val="00402759"/>
    <w:rsid w:val="004045F2"/>
    <w:rsid w:val="00405FDE"/>
    <w:rsid w:val="004105B8"/>
    <w:rsid w:val="00414F82"/>
    <w:rsid w:val="00415261"/>
    <w:rsid w:val="00416EC9"/>
    <w:rsid w:val="00417568"/>
    <w:rsid w:val="00420D45"/>
    <w:rsid w:val="00421471"/>
    <w:rsid w:val="00422911"/>
    <w:rsid w:val="00425E31"/>
    <w:rsid w:val="00426801"/>
    <w:rsid w:val="00430498"/>
    <w:rsid w:val="00430B96"/>
    <w:rsid w:val="0043177D"/>
    <w:rsid w:val="004318CF"/>
    <w:rsid w:val="00432A9E"/>
    <w:rsid w:val="00432FD1"/>
    <w:rsid w:val="00435EDF"/>
    <w:rsid w:val="004379E8"/>
    <w:rsid w:val="00440278"/>
    <w:rsid w:val="0044113C"/>
    <w:rsid w:val="00442F6B"/>
    <w:rsid w:val="00443F62"/>
    <w:rsid w:val="004442DB"/>
    <w:rsid w:val="0044597A"/>
    <w:rsid w:val="00447E1C"/>
    <w:rsid w:val="00447E96"/>
    <w:rsid w:val="00450081"/>
    <w:rsid w:val="004516A3"/>
    <w:rsid w:val="004535E9"/>
    <w:rsid w:val="00454517"/>
    <w:rsid w:val="00454E81"/>
    <w:rsid w:val="004550BD"/>
    <w:rsid w:val="00456685"/>
    <w:rsid w:val="00456A9F"/>
    <w:rsid w:val="00457871"/>
    <w:rsid w:val="0046050C"/>
    <w:rsid w:val="004610DE"/>
    <w:rsid w:val="00461110"/>
    <w:rsid w:val="004615D4"/>
    <w:rsid w:val="0046249D"/>
    <w:rsid w:val="004625D2"/>
    <w:rsid w:val="004625F8"/>
    <w:rsid w:val="00463588"/>
    <w:rsid w:val="00463ADC"/>
    <w:rsid w:val="00464976"/>
    <w:rsid w:val="00465119"/>
    <w:rsid w:val="004665C2"/>
    <w:rsid w:val="00467F56"/>
    <w:rsid w:val="00470F6B"/>
    <w:rsid w:val="004728EF"/>
    <w:rsid w:val="00472E8A"/>
    <w:rsid w:val="00476B9E"/>
    <w:rsid w:val="00477E0E"/>
    <w:rsid w:val="004839A6"/>
    <w:rsid w:val="00483F4A"/>
    <w:rsid w:val="004849A1"/>
    <w:rsid w:val="00484DCA"/>
    <w:rsid w:val="00485BE6"/>
    <w:rsid w:val="00487B14"/>
    <w:rsid w:val="0049019C"/>
    <w:rsid w:val="004905AD"/>
    <w:rsid w:val="00490788"/>
    <w:rsid w:val="00491C83"/>
    <w:rsid w:val="00492020"/>
    <w:rsid w:val="004933BC"/>
    <w:rsid w:val="00493891"/>
    <w:rsid w:val="004939E1"/>
    <w:rsid w:val="00494C40"/>
    <w:rsid w:val="00494D86"/>
    <w:rsid w:val="00494EF8"/>
    <w:rsid w:val="0049618A"/>
    <w:rsid w:val="004965B4"/>
    <w:rsid w:val="00496E09"/>
    <w:rsid w:val="004A039A"/>
    <w:rsid w:val="004A20A3"/>
    <w:rsid w:val="004A363A"/>
    <w:rsid w:val="004A3C88"/>
    <w:rsid w:val="004A5D74"/>
    <w:rsid w:val="004A5EE3"/>
    <w:rsid w:val="004A640B"/>
    <w:rsid w:val="004B2E45"/>
    <w:rsid w:val="004B77AD"/>
    <w:rsid w:val="004C2FA8"/>
    <w:rsid w:val="004C4A76"/>
    <w:rsid w:val="004C4E9F"/>
    <w:rsid w:val="004C525D"/>
    <w:rsid w:val="004C7BF3"/>
    <w:rsid w:val="004D1764"/>
    <w:rsid w:val="004D1BC9"/>
    <w:rsid w:val="004D393C"/>
    <w:rsid w:val="004D4766"/>
    <w:rsid w:val="004D479C"/>
    <w:rsid w:val="004D5B2D"/>
    <w:rsid w:val="004D5C37"/>
    <w:rsid w:val="004D6C26"/>
    <w:rsid w:val="004E07D2"/>
    <w:rsid w:val="004E5E07"/>
    <w:rsid w:val="004E6806"/>
    <w:rsid w:val="004E6A14"/>
    <w:rsid w:val="004E6EC7"/>
    <w:rsid w:val="004E72D8"/>
    <w:rsid w:val="004F0D45"/>
    <w:rsid w:val="004F1E96"/>
    <w:rsid w:val="004F33AD"/>
    <w:rsid w:val="004F4A5A"/>
    <w:rsid w:val="004F6E12"/>
    <w:rsid w:val="004F6E92"/>
    <w:rsid w:val="004F70F4"/>
    <w:rsid w:val="004F7670"/>
    <w:rsid w:val="004F7812"/>
    <w:rsid w:val="004F78F3"/>
    <w:rsid w:val="0050422B"/>
    <w:rsid w:val="005044F6"/>
    <w:rsid w:val="00505F39"/>
    <w:rsid w:val="005069A5"/>
    <w:rsid w:val="0050718C"/>
    <w:rsid w:val="00507341"/>
    <w:rsid w:val="00507C57"/>
    <w:rsid w:val="00507EA9"/>
    <w:rsid w:val="005113C8"/>
    <w:rsid w:val="00511795"/>
    <w:rsid w:val="00512134"/>
    <w:rsid w:val="00513542"/>
    <w:rsid w:val="00514C2A"/>
    <w:rsid w:val="005168AD"/>
    <w:rsid w:val="00516B04"/>
    <w:rsid w:val="005175F1"/>
    <w:rsid w:val="005177EE"/>
    <w:rsid w:val="0052035C"/>
    <w:rsid w:val="0052276B"/>
    <w:rsid w:val="005261CB"/>
    <w:rsid w:val="0052626C"/>
    <w:rsid w:val="00526393"/>
    <w:rsid w:val="00526654"/>
    <w:rsid w:val="0053284F"/>
    <w:rsid w:val="00533A5B"/>
    <w:rsid w:val="00536D4E"/>
    <w:rsid w:val="0053715A"/>
    <w:rsid w:val="00537454"/>
    <w:rsid w:val="005379C9"/>
    <w:rsid w:val="005401C1"/>
    <w:rsid w:val="00540340"/>
    <w:rsid w:val="00540C29"/>
    <w:rsid w:val="00543182"/>
    <w:rsid w:val="00543945"/>
    <w:rsid w:val="005457DD"/>
    <w:rsid w:val="005514E4"/>
    <w:rsid w:val="005550AC"/>
    <w:rsid w:val="00556759"/>
    <w:rsid w:val="00563197"/>
    <w:rsid w:val="00563FF5"/>
    <w:rsid w:val="00564169"/>
    <w:rsid w:val="00564E78"/>
    <w:rsid w:val="005666F9"/>
    <w:rsid w:val="005674DB"/>
    <w:rsid w:val="00571A0B"/>
    <w:rsid w:val="0057380A"/>
    <w:rsid w:val="00574CEA"/>
    <w:rsid w:val="00574E7E"/>
    <w:rsid w:val="0057502D"/>
    <w:rsid w:val="005760E0"/>
    <w:rsid w:val="005770F5"/>
    <w:rsid w:val="005772F4"/>
    <w:rsid w:val="00577B00"/>
    <w:rsid w:val="00580B01"/>
    <w:rsid w:val="005810B9"/>
    <w:rsid w:val="00582D1E"/>
    <w:rsid w:val="00583A63"/>
    <w:rsid w:val="00584FCD"/>
    <w:rsid w:val="0058667C"/>
    <w:rsid w:val="005901F5"/>
    <w:rsid w:val="005912D1"/>
    <w:rsid w:val="00591BD8"/>
    <w:rsid w:val="0059277F"/>
    <w:rsid w:val="005975A1"/>
    <w:rsid w:val="005979E1"/>
    <w:rsid w:val="005A0FB9"/>
    <w:rsid w:val="005A14B5"/>
    <w:rsid w:val="005A2C72"/>
    <w:rsid w:val="005A6BE9"/>
    <w:rsid w:val="005B0A47"/>
    <w:rsid w:val="005B2FE6"/>
    <w:rsid w:val="005B3518"/>
    <w:rsid w:val="005B49CA"/>
    <w:rsid w:val="005B5B6E"/>
    <w:rsid w:val="005B75E7"/>
    <w:rsid w:val="005C069D"/>
    <w:rsid w:val="005C0D03"/>
    <w:rsid w:val="005C14BD"/>
    <w:rsid w:val="005C14EB"/>
    <w:rsid w:val="005C157E"/>
    <w:rsid w:val="005C4586"/>
    <w:rsid w:val="005C45FC"/>
    <w:rsid w:val="005C4814"/>
    <w:rsid w:val="005C4B76"/>
    <w:rsid w:val="005C5450"/>
    <w:rsid w:val="005C700D"/>
    <w:rsid w:val="005C7FEB"/>
    <w:rsid w:val="005D1036"/>
    <w:rsid w:val="005D19D4"/>
    <w:rsid w:val="005D3225"/>
    <w:rsid w:val="005D389C"/>
    <w:rsid w:val="005D4262"/>
    <w:rsid w:val="005D4408"/>
    <w:rsid w:val="005D475C"/>
    <w:rsid w:val="005D4944"/>
    <w:rsid w:val="005D5607"/>
    <w:rsid w:val="005D592A"/>
    <w:rsid w:val="005E0856"/>
    <w:rsid w:val="005E09BA"/>
    <w:rsid w:val="005E185E"/>
    <w:rsid w:val="005E38EA"/>
    <w:rsid w:val="005E606C"/>
    <w:rsid w:val="005E62CC"/>
    <w:rsid w:val="005E74A0"/>
    <w:rsid w:val="005F0B81"/>
    <w:rsid w:val="005F317E"/>
    <w:rsid w:val="005F38E3"/>
    <w:rsid w:val="005F3E95"/>
    <w:rsid w:val="005F611E"/>
    <w:rsid w:val="0060123B"/>
    <w:rsid w:val="00601CE5"/>
    <w:rsid w:val="006026C4"/>
    <w:rsid w:val="00602994"/>
    <w:rsid w:val="00602C4C"/>
    <w:rsid w:val="006039E7"/>
    <w:rsid w:val="00604571"/>
    <w:rsid w:val="00605C1D"/>
    <w:rsid w:val="00605C71"/>
    <w:rsid w:val="006061C6"/>
    <w:rsid w:val="00607178"/>
    <w:rsid w:val="00610191"/>
    <w:rsid w:val="00613C59"/>
    <w:rsid w:val="006148C4"/>
    <w:rsid w:val="006152C3"/>
    <w:rsid w:val="00615C0F"/>
    <w:rsid w:val="00615C48"/>
    <w:rsid w:val="00617937"/>
    <w:rsid w:val="006209B6"/>
    <w:rsid w:val="00621DCE"/>
    <w:rsid w:val="00622302"/>
    <w:rsid w:val="00622F48"/>
    <w:rsid w:val="006309E7"/>
    <w:rsid w:val="0063149A"/>
    <w:rsid w:val="00631F7A"/>
    <w:rsid w:val="00632007"/>
    <w:rsid w:val="00633311"/>
    <w:rsid w:val="00635000"/>
    <w:rsid w:val="006361D2"/>
    <w:rsid w:val="006428E1"/>
    <w:rsid w:val="00643099"/>
    <w:rsid w:val="00644794"/>
    <w:rsid w:val="00644F62"/>
    <w:rsid w:val="00647E54"/>
    <w:rsid w:val="00650AF3"/>
    <w:rsid w:val="00651E6C"/>
    <w:rsid w:val="00653763"/>
    <w:rsid w:val="00653864"/>
    <w:rsid w:val="00660BE6"/>
    <w:rsid w:val="00662155"/>
    <w:rsid w:val="0066499B"/>
    <w:rsid w:val="00664D14"/>
    <w:rsid w:val="006651C9"/>
    <w:rsid w:val="00672541"/>
    <w:rsid w:val="0067271F"/>
    <w:rsid w:val="0067346B"/>
    <w:rsid w:val="006741C3"/>
    <w:rsid w:val="006760F5"/>
    <w:rsid w:val="00676258"/>
    <w:rsid w:val="00677E92"/>
    <w:rsid w:val="00681CBB"/>
    <w:rsid w:val="00682008"/>
    <w:rsid w:val="00683C50"/>
    <w:rsid w:val="00692F4F"/>
    <w:rsid w:val="0069698C"/>
    <w:rsid w:val="006A1341"/>
    <w:rsid w:val="006A1638"/>
    <w:rsid w:val="006A2407"/>
    <w:rsid w:val="006A37B9"/>
    <w:rsid w:val="006A5905"/>
    <w:rsid w:val="006A6374"/>
    <w:rsid w:val="006B1E40"/>
    <w:rsid w:val="006B1F05"/>
    <w:rsid w:val="006B3B83"/>
    <w:rsid w:val="006B53C1"/>
    <w:rsid w:val="006C04AB"/>
    <w:rsid w:val="006C12D1"/>
    <w:rsid w:val="006C441E"/>
    <w:rsid w:val="006C5481"/>
    <w:rsid w:val="006D0732"/>
    <w:rsid w:val="006D1E90"/>
    <w:rsid w:val="006D4638"/>
    <w:rsid w:val="006D46DF"/>
    <w:rsid w:val="006D4A47"/>
    <w:rsid w:val="006D4C60"/>
    <w:rsid w:val="006D5BCC"/>
    <w:rsid w:val="006E0615"/>
    <w:rsid w:val="006E0BBC"/>
    <w:rsid w:val="006E44D4"/>
    <w:rsid w:val="006E5152"/>
    <w:rsid w:val="006F3016"/>
    <w:rsid w:val="006F3A06"/>
    <w:rsid w:val="006F4711"/>
    <w:rsid w:val="006F497B"/>
    <w:rsid w:val="006F4B44"/>
    <w:rsid w:val="006F730D"/>
    <w:rsid w:val="007001A2"/>
    <w:rsid w:val="00700833"/>
    <w:rsid w:val="007024FB"/>
    <w:rsid w:val="0070713C"/>
    <w:rsid w:val="007109C5"/>
    <w:rsid w:val="007114EE"/>
    <w:rsid w:val="007121C8"/>
    <w:rsid w:val="0071233C"/>
    <w:rsid w:val="00714A07"/>
    <w:rsid w:val="00714DD3"/>
    <w:rsid w:val="00720085"/>
    <w:rsid w:val="00724ADA"/>
    <w:rsid w:val="007262FF"/>
    <w:rsid w:val="00727361"/>
    <w:rsid w:val="00727A12"/>
    <w:rsid w:val="007309AA"/>
    <w:rsid w:val="00730F06"/>
    <w:rsid w:val="00732195"/>
    <w:rsid w:val="007327D9"/>
    <w:rsid w:val="007338DC"/>
    <w:rsid w:val="00737587"/>
    <w:rsid w:val="007405CF"/>
    <w:rsid w:val="00740718"/>
    <w:rsid w:val="007517FD"/>
    <w:rsid w:val="00751B19"/>
    <w:rsid w:val="00752360"/>
    <w:rsid w:val="00753EB2"/>
    <w:rsid w:val="0075489D"/>
    <w:rsid w:val="00754A51"/>
    <w:rsid w:val="00754DDF"/>
    <w:rsid w:val="0075683B"/>
    <w:rsid w:val="00757B56"/>
    <w:rsid w:val="00763FC2"/>
    <w:rsid w:val="00764D8F"/>
    <w:rsid w:val="007658C2"/>
    <w:rsid w:val="007719AB"/>
    <w:rsid w:val="00772408"/>
    <w:rsid w:val="0077358D"/>
    <w:rsid w:val="007744D6"/>
    <w:rsid w:val="00774798"/>
    <w:rsid w:val="00774CBF"/>
    <w:rsid w:val="0077591E"/>
    <w:rsid w:val="00776561"/>
    <w:rsid w:val="00776AE1"/>
    <w:rsid w:val="007802E9"/>
    <w:rsid w:val="007804D8"/>
    <w:rsid w:val="00781261"/>
    <w:rsid w:val="00781B6D"/>
    <w:rsid w:val="00785CBF"/>
    <w:rsid w:val="007867EB"/>
    <w:rsid w:val="00790772"/>
    <w:rsid w:val="007927BE"/>
    <w:rsid w:val="00792867"/>
    <w:rsid w:val="00795D6A"/>
    <w:rsid w:val="00796546"/>
    <w:rsid w:val="00796FAF"/>
    <w:rsid w:val="007A02AE"/>
    <w:rsid w:val="007A0569"/>
    <w:rsid w:val="007A0E29"/>
    <w:rsid w:val="007A3249"/>
    <w:rsid w:val="007A387D"/>
    <w:rsid w:val="007A50E0"/>
    <w:rsid w:val="007A7911"/>
    <w:rsid w:val="007A7BA0"/>
    <w:rsid w:val="007B0809"/>
    <w:rsid w:val="007B18B3"/>
    <w:rsid w:val="007B226C"/>
    <w:rsid w:val="007B2B8E"/>
    <w:rsid w:val="007B2BA4"/>
    <w:rsid w:val="007B4F14"/>
    <w:rsid w:val="007B634D"/>
    <w:rsid w:val="007C0D52"/>
    <w:rsid w:val="007C1E7B"/>
    <w:rsid w:val="007C2878"/>
    <w:rsid w:val="007C2DAC"/>
    <w:rsid w:val="007C3562"/>
    <w:rsid w:val="007C4416"/>
    <w:rsid w:val="007C5D96"/>
    <w:rsid w:val="007C67E1"/>
    <w:rsid w:val="007C6CC0"/>
    <w:rsid w:val="007C753E"/>
    <w:rsid w:val="007D0387"/>
    <w:rsid w:val="007D0415"/>
    <w:rsid w:val="007D3C00"/>
    <w:rsid w:val="007D4660"/>
    <w:rsid w:val="007D59FA"/>
    <w:rsid w:val="007E30DF"/>
    <w:rsid w:val="007E35F0"/>
    <w:rsid w:val="007E3653"/>
    <w:rsid w:val="007E4754"/>
    <w:rsid w:val="007E5763"/>
    <w:rsid w:val="007E5CC0"/>
    <w:rsid w:val="007E68BB"/>
    <w:rsid w:val="007E7D2A"/>
    <w:rsid w:val="007E7FB5"/>
    <w:rsid w:val="007F1008"/>
    <w:rsid w:val="007F16E7"/>
    <w:rsid w:val="007F2006"/>
    <w:rsid w:val="007F29EB"/>
    <w:rsid w:val="007F30B8"/>
    <w:rsid w:val="007F4210"/>
    <w:rsid w:val="007F487C"/>
    <w:rsid w:val="007F522F"/>
    <w:rsid w:val="00802A39"/>
    <w:rsid w:val="00807DA2"/>
    <w:rsid w:val="00811FC1"/>
    <w:rsid w:val="0081399C"/>
    <w:rsid w:val="008155C6"/>
    <w:rsid w:val="008168FE"/>
    <w:rsid w:val="00816D07"/>
    <w:rsid w:val="00820D72"/>
    <w:rsid w:val="008210AF"/>
    <w:rsid w:val="00821CEB"/>
    <w:rsid w:val="0082294F"/>
    <w:rsid w:val="00824073"/>
    <w:rsid w:val="00825357"/>
    <w:rsid w:val="00826B28"/>
    <w:rsid w:val="008272AA"/>
    <w:rsid w:val="0083176F"/>
    <w:rsid w:val="008317FD"/>
    <w:rsid w:val="00831C59"/>
    <w:rsid w:val="00835BC2"/>
    <w:rsid w:val="0083756D"/>
    <w:rsid w:val="00837B75"/>
    <w:rsid w:val="008406F0"/>
    <w:rsid w:val="008418DE"/>
    <w:rsid w:val="00842039"/>
    <w:rsid w:val="0084205A"/>
    <w:rsid w:val="0084333D"/>
    <w:rsid w:val="00845D09"/>
    <w:rsid w:val="00847102"/>
    <w:rsid w:val="00852F5C"/>
    <w:rsid w:val="00855294"/>
    <w:rsid w:val="00855D33"/>
    <w:rsid w:val="00856CC7"/>
    <w:rsid w:val="00857A71"/>
    <w:rsid w:val="0086059A"/>
    <w:rsid w:val="00860A6F"/>
    <w:rsid w:val="00863004"/>
    <w:rsid w:val="00863346"/>
    <w:rsid w:val="0086355F"/>
    <w:rsid w:val="00864BC7"/>
    <w:rsid w:val="00864FEE"/>
    <w:rsid w:val="00865091"/>
    <w:rsid w:val="008666D7"/>
    <w:rsid w:val="00866C36"/>
    <w:rsid w:val="00866C88"/>
    <w:rsid w:val="00873547"/>
    <w:rsid w:val="00873DC8"/>
    <w:rsid w:val="00873F66"/>
    <w:rsid w:val="00874E81"/>
    <w:rsid w:val="008803AC"/>
    <w:rsid w:val="00880F40"/>
    <w:rsid w:val="00882221"/>
    <w:rsid w:val="00883741"/>
    <w:rsid w:val="00883A92"/>
    <w:rsid w:val="00884102"/>
    <w:rsid w:val="00884630"/>
    <w:rsid w:val="008876BD"/>
    <w:rsid w:val="00887FBB"/>
    <w:rsid w:val="0089055F"/>
    <w:rsid w:val="00891B50"/>
    <w:rsid w:val="0089262F"/>
    <w:rsid w:val="00895221"/>
    <w:rsid w:val="008954B0"/>
    <w:rsid w:val="008A00C5"/>
    <w:rsid w:val="008A27D0"/>
    <w:rsid w:val="008A4219"/>
    <w:rsid w:val="008A5F96"/>
    <w:rsid w:val="008B103A"/>
    <w:rsid w:val="008B4AF4"/>
    <w:rsid w:val="008B77DD"/>
    <w:rsid w:val="008C0699"/>
    <w:rsid w:val="008C36E4"/>
    <w:rsid w:val="008C4128"/>
    <w:rsid w:val="008C4A39"/>
    <w:rsid w:val="008C680C"/>
    <w:rsid w:val="008D102E"/>
    <w:rsid w:val="008D11CB"/>
    <w:rsid w:val="008D1DDC"/>
    <w:rsid w:val="008D5542"/>
    <w:rsid w:val="008D5D78"/>
    <w:rsid w:val="008D66BE"/>
    <w:rsid w:val="008D6AD0"/>
    <w:rsid w:val="008E1D5B"/>
    <w:rsid w:val="008E34A1"/>
    <w:rsid w:val="008E3B81"/>
    <w:rsid w:val="008E6E9C"/>
    <w:rsid w:val="008E7DE6"/>
    <w:rsid w:val="008F0107"/>
    <w:rsid w:val="008F19CE"/>
    <w:rsid w:val="008F38C2"/>
    <w:rsid w:val="008F3B1B"/>
    <w:rsid w:val="008F65D9"/>
    <w:rsid w:val="00901E23"/>
    <w:rsid w:val="0090547C"/>
    <w:rsid w:val="00905C6C"/>
    <w:rsid w:val="00906019"/>
    <w:rsid w:val="00906986"/>
    <w:rsid w:val="00910C05"/>
    <w:rsid w:val="00911198"/>
    <w:rsid w:val="00911F46"/>
    <w:rsid w:val="0091422E"/>
    <w:rsid w:val="009145E6"/>
    <w:rsid w:val="00916D3A"/>
    <w:rsid w:val="0092023F"/>
    <w:rsid w:val="00922F14"/>
    <w:rsid w:val="009231B2"/>
    <w:rsid w:val="00923A0B"/>
    <w:rsid w:val="00926CFF"/>
    <w:rsid w:val="009312CD"/>
    <w:rsid w:val="009328E9"/>
    <w:rsid w:val="00932DE4"/>
    <w:rsid w:val="0093309A"/>
    <w:rsid w:val="00933756"/>
    <w:rsid w:val="00935BE0"/>
    <w:rsid w:val="00935E2F"/>
    <w:rsid w:val="00936CEA"/>
    <w:rsid w:val="00940AE3"/>
    <w:rsid w:val="00940B66"/>
    <w:rsid w:val="00944863"/>
    <w:rsid w:val="00946DFA"/>
    <w:rsid w:val="00950F03"/>
    <w:rsid w:val="00953B48"/>
    <w:rsid w:val="00954D7E"/>
    <w:rsid w:val="00955090"/>
    <w:rsid w:val="00960812"/>
    <w:rsid w:val="00961C40"/>
    <w:rsid w:val="0096588C"/>
    <w:rsid w:val="00967019"/>
    <w:rsid w:val="00967A8D"/>
    <w:rsid w:val="009708C7"/>
    <w:rsid w:val="00970AF0"/>
    <w:rsid w:val="00971B54"/>
    <w:rsid w:val="00971C32"/>
    <w:rsid w:val="00974E02"/>
    <w:rsid w:val="00980089"/>
    <w:rsid w:val="00980B2D"/>
    <w:rsid w:val="009812D9"/>
    <w:rsid w:val="00981BD4"/>
    <w:rsid w:val="00983762"/>
    <w:rsid w:val="00985CC8"/>
    <w:rsid w:val="009914F5"/>
    <w:rsid w:val="009922BF"/>
    <w:rsid w:val="00992385"/>
    <w:rsid w:val="00992C93"/>
    <w:rsid w:val="00995590"/>
    <w:rsid w:val="009972A4"/>
    <w:rsid w:val="009A0618"/>
    <w:rsid w:val="009A0842"/>
    <w:rsid w:val="009A0CC9"/>
    <w:rsid w:val="009A14C1"/>
    <w:rsid w:val="009A167B"/>
    <w:rsid w:val="009A3765"/>
    <w:rsid w:val="009A7867"/>
    <w:rsid w:val="009A793E"/>
    <w:rsid w:val="009B023D"/>
    <w:rsid w:val="009B0279"/>
    <w:rsid w:val="009B05A9"/>
    <w:rsid w:val="009B1F4E"/>
    <w:rsid w:val="009B4772"/>
    <w:rsid w:val="009B478A"/>
    <w:rsid w:val="009B4CF9"/>
    <w:rsid w:val="009B505D"/>
    <w:rsid w:val="009B597A"/>
    <w:rsid w:val="009C1CE4"/>
    <w:rsid w:val="009C2645"/>
    <w:rsid w:val="009C32CF"/>
    <w:rsid w:val="009C3BDC"/>
    <w:rsid w:val="009C6AF5"/>
    <w:rsid w:val="009C7642"/>
    <w:rsid w:val="009C7AD3"/>
    <w:rsid w:val="009C7C5D"/>
    <w:rsid w:val="009D1B3F"/>
    <w:rsid w:val="009D3892"/>
    <w:rsid w:val="009D6017"/>
    <w:rsid w:val="009D65E0"/>
    <w:rsid w:val="009D6DFB"/>
    <w:rsid w:val="009D727F"/>
    <w:rsid w:val="009D791E"/>
    <w:rsid w:val="009E00BE"/>
    <w:rsid w:val="009E358A"/>
    <w:rsid w:val="009E37FC"/>
    <w:rsid w:val="009E5450"/>
    <w:rsid w:val="009E74CA"/>
    <w:rsid w:val="009F04CE"/>
    <w:rsid w:val="009F0513"/>
    <w:rsid w:val="009F3343"/>
    <w:rsid w:val="009F4426"/>
    <w:rsid w:val="009F4737"/>
    <w:rsid w:val="009F63D6"/>
    <w:rsid w:val="009F6CEA"/>
    <w:rsid w:val="00A00373"/>
    <w:rsid w:val="00A01ADE"/>
    <w:rsid w:val="00A028A7"/>
    <w:rsid w:val="00A04B80"/>
    <w:rsid w:val="00A05CF8"/>
    <w:rsid w:val="00A05DC1"/>
    <w:rsid w:val="00A070AD"/>
    <w:rsid w:val="00A122EB"/>
    <w:rsid w:val="00A13B66"/>
    <w:rsid w:val="00A15ED2"/>
    <w:rsid w:val="00A17B19"/>
    <w:rsid w:val="00A17FCB"/>
    <w:rsid w:val="00A21440"/>
    <w:rsid w:val="00A224CF"/>
    <w:rsid w:val="00A235F8"/>
    <w:rsid w:val="00A24C57"/>
    <w:rsid w:val="00A25CCC"/>
    <w:rsid w:val="00A30E8C"/>
    <w:rsid w:val="00A3108A"/>
    <w:rsid w:val="00A31BED"/>
    <w:rsid w:val="00A32ACE"/>
    <w:rsid w:val="00A3568E"/>
    <w:rsid w:val="00A35709"/>
    <w:rsid w:val="00A359A3"/>
    <w:rsid w:val="00A368AD"/>
    <w:rsid w:val="00A36B21"/>
    <w:rsid w:val="00A36B49"/>
    <w:rsid w:val="00A37B21"/>
    <w:rsid w:val="00A427CF"/>
    <w:rsid w:val="00A43485"/>
    <w:rsid w:val="00A43E8D"/>
    <w:rsid w:val="00A4497C"/>
    <w:rsid w:val="00A457AB"/>
    <w:rsid w:val="00A459FF"/>
    <w:rsid w:val="00A47708"/>
    <w:rsid w:val="00A47FCF"/>
    <w:rsid w:val="00A50D6C"/>
    <w:rsid w:val="00A51BDF"/>
    <w:rsid w:val="00A537FA"/>
    <w:rsid w:val="00A55903"/>
    <w:rsid w:val="00A55A19"/>
    <w:rsid w:val="00A57149"/>
    <w:rsid w:val="00A575BA"/>
    <w:rsid w:val="00A607FD"/>
    <w:rsid w:val="00A62D76"/>
    <w:rsid w:val="00A63172"/>
    <w:rsid w:val="00A63D0F"/>
    <w:rsid w:val="00A64B24"/>
    <w:rsid w:val="00A651D4"/>
    <w:rsid w:val="00A65AFB"/>
    <w:rsid w:val="00A65EA4"/>
    <w:rsid w:val="00A66FFA"/>
    <w:rsid w:val="00A71321"/>
    <w:rsid w:val="00A71CBE"/>
    <w:rsid w:val="00A71DB7"/>
    <w:rsid w:val="00A7500D"/>
    <w:rsid w:val="00A752EE"/>
    <w:rsid w:val="00A758E9"/>
    <w:rsid w:val="00A764D8"/>
    <w:rsid w:val="00A7654E"/>
    <w:rsid w:val="00A800A0"/>
    <w:rsid w:val="00A822C8"/>
    <w:rsid w:val="00A82DA9"/>
    <w:rsid w:val="00A83373"/>
    <w:rsid w:val="00A8396E"/>
    <w:rsid w:val="00A865D9"/>
    <w:rsid w:val="00A8664F"/>
    <w:rsid w:val="00A86742"/>
    <w:rsid w:val="00A86D30"/>
    <w:rsid w:val="00A90456"/>
    <w:rsid w:val="00A90898"/>
    <w:rsid w:val="00A9426E"/>
    <w:rsid w:val="00A96EE3"/>
    <w:rsid w:val="00A97099"/>
    <w:rsid w:val="00AA00B3"/>
    <w:rsid w:val="00AA0D16"/>
    <w:rsid w:val="00AA2CD2"/>
    <w:rsid w:val="00AA36B9"/>
    <w:rsid w:val="00AA42AE"/>
    <w:rsid w:val="00AA463F"/>
    <w:rsid w:val="00AA56D2"/>
    <w:rsid w:val="00AA57CD"/>
    <w:rsid w:val="00AA5C4F"/>
    <w:rsid w:val="00AB1651"/>
    <w:rsid w:val="00AB1E3E"/>
    <w:rsid w:val="00AB4A9C"/>
    <w:rsid w:val="00AB54ED"/>
    <w:rsid w:val="00AB6FD1"/>
    <w:rsid w:val="00AC0643"/>
    <w:rsid w:val="00AC19FA"/>
    <w:rsid w:val="00AC2D85"/>
    <w:rsid w:val="00AC40B6"/>
    <w:rsid w:val="00AC5F43"/>
    <w:rsid w:val="00AD0685"/>
    <w:rsid w:val="00AD2BD2"/>
    <w:rsid w:val="00AD428C"/>
    <w:rsid w:val="00AD4342"/>
    <w:rsid w:val="00AD4427"/>
    <w:rsid w:val="00AD4E52"/>
    <w:rsid w:val="00AD4F84"/>
    <w:rsid w:val="00AD5B12"/>
    <w:rsid w:val="00AE11D1"/>
    <w:rsid w:val="00AE387C"/>
    <w:rsid w:val="00AE4599"/>
    <w:rsid w:val="00AE6B4A"/>
    <w:rsid w:val="00AF04A0"/>
    <w:rsid w:val="00AF0674"/>
    <w:rsid w:val="00AF1290"/>
    <w:rsid w:val="00AF240C"/>
    <w:rsid w:val="00AF6521"/>
    <w:rsid w:val="00AF7C7B"/>
    <w:rsid w:val="00B00E72"/>
    <w:rsid w:val="00B015FD"/>
    <w:rsid w:val="00B03A2E"/>
    <w:rsid w:val="00B0483D"/>
    <w:rsid w:val="00B04920"/>
    <w:rsid w:val="00B0520E"/>
    <w:rsid w:val="00B07625"/>
    <w:rsid w:val="00B1042B"/>
    <w:rsid w:val="00B11E9E"/>
    <w:rsid w:val="00B133BB"/>
    <w:rsid w:val="00B13D0F"/>
    <w:rsid w:val="00B14431"/>
    <w:rsid w:val="00B14BD3"/>
    <w:rsid w:val="00B15116"/>
    <w:rsid w:val="00B16620"/>
    <w:rsid w:val="00B172E9"/>
    <w:rsid w:val="00B22763"/>
    <w:rsid w:val="00B24C0B"/>
    <w:rsid w:val="00B24D60"/>
    <w:rsid w:val="00B259A0"/>
    <w:rsid w:val="00B2679A"/>
    <w:rsid w:val="00B2758B"/>
    <w:rsid w:val="00B278AD"/>
    <w:rsid w:val="00B3251C"/>
    <w:rsid w:val="00B326A1"/>
    <w:rsid w:val="00B34051"/>
    <w:rsid w:val="00B34099"/>
    <w:rsid w:val="00B354D2"/>
    <w:rsid w:val="00B35D30"/>
    <w:rsid w:val="00B36348"/>
    <w:rsid w:val="00B3703C"/>
    <w:rsid w:val="00B373B6"/>
    <w:rsid w:val="00B37F60"/>
    <w:rsid w:val="00B42AD5"/>
    <w:rsid w:val="00B42D18"/>
    <w:rsid w:val="00B42E77"/>
    <w:rsid w:val="00B43956"/>
    <w:rsid w:val="00B43C31"/>
    <w:rsid w:val="00B43E9E"/>
    <w:rsid w:val="00B45429"/>
    <w:rsid w:val="00B457D5"/>
    <w:rsid w:val="00B4661F"/>
    <w:rsid w:val="00B46B8E"/>
    <w:rsid w:val="00B47A02"/>
    <w:rsid w:val="00B50F32"/>
    <w:rsid w:val="00B550F9"/>
    <w:rsid w:val="00B56939"/>
    <w:rsid w:val="00B61FDA"/>
    <w:rsid w:val="00B63A3D"/>
    <w:rsid w:val="00B63C17"/>
    <w:rsid w:val="00B64458"/>
    <w:rsid w:val="00B651A8"/>
    <w:rsid w:val="00B65B3A"/>
    <w:rsid w:val="00B6692B"/>
    <w:rsid w:val="00B677CE"/>
    <w:rsid w:val="00B734F0"/>
    <w:rsid w:val="00B7657F"/>
    <w:rsid w:val="00B77116"/>
    <w:rsid w:val="00B774C3"/>
    <w:rsid w:val="00B80EF7"/>
    <w:rsid w:val="00B830E5"/>
    <w:rsid w:val="00B83825"/>
    <w:rsid w:val="00B83EF0"/>
    <w:rsid w:val="00B843FC"/>
    <w:rsid w:val="00B86340"/>
    <w:rsid w:val="00B87127"/>
    <w:rsid w:val="00B87B9F"/>
    <w:rsid w:val="00B90581"/>
    <w:rsid w:val="00B92BED"/>
    <w:rsid w:val="00B937A4"/>
    <w:rsid w:val="00B939BB"/>
    <w:rsid w:val="00B93F4C"/>
    <w:rsid w:val="00B9554D"/>
    <w:rsid w:val="00B95E83"/>
    <w:rsid w:val="00B9700D"/>
    <w:rsid w:val="00BA083F"/>
    <w:rsid w:val="00BA145B"/>
    <w:rsid w:val="00BA29A7"/>
    <w:rsid w:val="00BA31CE"/>
    <w:rsid w:val="00BA6034"/>
    <w:rsid w:val="00BA664E"/>
    <w:rsid w:val="00BA6AB4"/>
    <w:rsid w:val="00BA6C10"/>
    <w:rsid w:val="00BB27CE"/>
    <w:rsid w:val="00BB2EE7"/>
    <w:rsid w:val="00BB3105"/>
    <w:rsid w:val="00BB3C5F"/>
    <w:rsid w:val="00BB42DC"/>
    <w:rsid w:val="00BB69E0"/>
    <w:rsid w:val="00BC04AC"/>
    <w:rsid w:val="00BC0A72"/>
    <w:rsid w:val="00BC145D"/>
    <w:rsid w:val="00BC2C0A"/>
    <w:rsid w:val="00BC4489"/>
    <w:rsid w:val="00BC4522"/>
    <w:rsid w:val="00BC4712"/>
    <w:rsid w:val="00BC4806"/>
    <w:rsid w:val="00BC5DE5"/>
    <w:rsid w:val="00BC62D9"/>
    <w:rsid w:val="00BC6C4B"/>
    <w:rsid w:val="00BC7987"/>
    <w:rsid w:val="00BD077E"/>
    <w:rsid w:val="00BD1B82"/>
    <w:rsid w:val="00BD300C"/>
    <w:rsid w:val="00BD4FB6"/>
    <w:rsid w:val="00BD5B36"/>
    <w:rsid w:val="00BD5B70"/>
    <w:rsid w:val="00BD6885"/>
    <w:rsid w:val="00BE09A3"/>
    <w:rsid w:val="00BE1DD2"/>
    <w:rsid w:val="00BE350B"/>
    <w:rsid w:val="00BE46F5"/>
    <w:rsid w:val="00BE5162"/>
    <w:rsid w:val="00BE5EF0"/>
    <w:rsid w:val="00BE7398"/>
    <w:rsid w:val="00BE773F"/>
    <w:rsid w:val="00BF0835"/>
    <w:rsid w:val="00BF451D"/>
    <w:rsid w:val="00BF6607"/>
    <w:rsid w:val="00C0240D"/>
    <w:rsid w:val="00C04995"/>
    <w:rsid w:val="00C0716E"/>
    <w:rsid w:val="00C07D43"/>
    <w:rsid w:val="00C10AB0"/>
    <w:rsid w:val="00C11353"/>
    <w:rsid w:val="00C13F28"/>
    <w:rsid w:val="00C17309"/>
    <w:rsid w:val="00C23ADA"/>
    <w:rsid w:val="00C27FFE"/>
    <w:rsid w:val="00C309F2"/>
    <w:rsid w:val="00C32AC3"/>
    <w:rsid w:val="00C32FAA"/>
    <w:rsid w:val="00C3303F"/>
    <w:rsid w:val="00C344F8"/>
    <w:rsid w:val="00C37A88"/>
    <w:rsid w:val="00C402E9"/>
    <w:rsid w:val="00C40546"/>
    <w:rsid w:val="00C4087A"/>
    <w:rsid w:val="00C43219"/>
    <w:rsid w:val="00C436B1"/>
    <w:rsid w:val="00C43ABF"/>
    <w:rsid w:val="00C43CA3"/>
    <w:rsid w:val="00C43EBF"/>
    <w:rsid w:val="00C44DB0"/>
    <w:rsid w:val="00C45625"/>
    <w:rsid w:val="00C458A3"/>
    <w:rsid w:val="00C4660D"/>
    <w:rsid w:val="00C4732A"/>
    <w:rsid w:val="00C477ED"/>
    <w:rsid w:val="00C50BB6"/>
    <w:rsid w:val="00C52906"/>
    <w:rsid w:val="00C5442E"/>
    <w:rsid w:val="00C54D87"/>
    <w:rsid w:val="00C563F9"/>
    <w:rsid w:val="00C56559"/>
    <w:rsid w:val="00C56F63"/>
    <w:rsid w:val="00C576ED"/>
    <w:rsid w:val="00C57BA2"/>
    <w:rsid w:val="00C6076B"/>
    <w:rsid w:val="00C62B27"/>
    <w:rsid w:val="00C63198"/>
    <w:rsid w:val="00C663C5"/>
    <w:rsid w:val="00C66570"/>
    <w:rsid w:val="00C66C84"/>
    <w:rsid w:val="00C66E90"/>
    <w:rsid w:val="00C7043E"/>
    <w:rsid w:val="00C71A76"/>
    <w:rsid w:val="00C72666"/>
    <w:rsid w:val="00C73B3F"/>
    <w:rsid w:val="00C73C4F"/>
    <w:rsid w:val="00C7691E"/>
    <w:rsid w:val="00C77AAB"/>
    <w:rsid w:val="00C812CF"/>
    <w:rsid w:val="00C8256E"/>
    <w:rsid w:val="00C84EF5"/>
    <w:rsid w:val="00C84F04"/>
    <w:rsid w:val="00C85538"/>
    <w:rsid w:val="00C8607F"/>
    <w:rsid w:val="00C95A95"/>
    <w:rsid w:val="00C969C6"/>
    <w:rsid w:val="00C9763E"/>
    <w:rsid w:val="00C97D5C"/>
    <w:rsid w:val="00CA1050"/>
    <w:rsid w:val="00CA3859"/>
    <w:rsid w:val="00CA3A41"/>
    <w:rsid w:val="00CA6216"/>
    <w:rsid w:val="00CB22CC"/>
    <w:rsid w:val="00CB344A"/>
    <w:rsid w:val="00CB3486"/>
    <w:rsid w:val="00CB3A3E"/>
    <w:rsid w:val="00CB47B3"/>
    <w:rsid w:val="00CB4965"/>
    <w:rsid w:val="00CB4CEA"/>
    <w:rsid w:val="00CC35B6"/>
    <w:rsid w:val="00CC37FA"/>
    <w:rsid w:val="00CC39C4"/>
    <w:rsid w:val="00CC3CBE"/>
    <w:rsid w:val="00CC4664"/>
    <w:rsid w:val="00CC5AE2"/>
    <w:rsid w:val="00CD0576"/>
    <w:rsid w:val="00CD2885"/>
    <w:rsid w:val="00CD2E83"/>
    <w:rsid w:val="00CD4F5A"/>
    <w:rsid w:val="00CD51F5"/>
    <w:rsid w:val="00CD57A7"/>
    <w:rsid w:val="00CD7019"/>
    <w:rsid w:val="00CD7456"/>
    <w:rsid w:val="00CE074D"/>
    <w:rsid w:val="00CE21D7"/>
    <w:rsid w:val="00CE24BC"/>
    <w:rsid w:val="00CE354C"/>
    <w:rsid w:val="00CE37DC"/>
    <w:rsid w:val="00CE4F00"/>
    <w:rsid w:val="00CE5232"/>
    <w:rsid w:val="00CE61C4"/>
    <w:rsid w:val="00CE62C8"/>
    <w:rsid w:val="00CF0767"/>
    <w:rsid w:val="00CF2071"/>
    <w:rsid w:val="00CF269F"/>
    <w:rsid w:val="00CF27D3"/>
    <w:rsid w:val="00CF3D1A"/>
    <w:rsid w:val="00CF3FAA"/>
    <w:rsid w:val="00CF467D"/>
    <w:rsid w:val="00CF495E"/>
    <w:rsid w:val="00CF5412"/>
    <w:rsid w:val="00D01827"/>
    <w:rsid w:val="00D03DEE"/>
    <w:rsid w:val="00D03EBB"/>
    <w:rsid w:val="00D13F27"/>
    <w:rsid w:val="00D17202"/>
    <w:rsid w:val="00D1772D"/>
    <w:rsid w:val="00D20E5C"/>
    <w:rsid w:val="00D227E2"/>
    <w:rsid w:val="00D227F5"/>
    <w:rsid w:val="00D243B0"/>
    <w:rsid w:val="00D25FD0"/>
    <w:rsid w:val="00D2684A"/>
    <w:rsid w:val="00D27EB6"/>
    <w:rsid w:val="00D30223"/>
    <w:rsid w:val="00D3081C"/>
    <w:rsid w:val="00D30915"/>
    <w:rsid w:val="00D322DA"/>
    <w:rsid w:val="00D32746"/>
    <w:rsid w:val="00D32A60"/>
    <w:rsid w:val="00D3616F"/>
    <w:rsid w:val="00D37E0D"/>
    <w:rsid w:val="00D41735"/>
    <w:rsid w:val="00D426AF"/>
    <w:rsid w:val="00D42D79"/>
    <w:rsid w:val="00D44C35"/>
    <w:rsid w:val="00D45260"/>
    <w:rsid w:val="00D4536A"/>
    <w:rsid w:val="00D467AE"/>
    <w:rsid w:val="00D46BB6"/>
    <w:rsid w:val="00D47094"/>
    <w:rsid w:val="00D503F8"/>
    <w:rsid w:val="00D509DF"/>
    <w:rsid w:val="00D5180D"/>
    <w:rsid w:val="00D51B95"/>
    <w:rsid w:val="00D51D41"/>
    <w:rsid w:val="00D53D62"/>
    <w:rsid w:val="00D54D36"/>
    <w:rsid w:val="00D55A85"/>
    <w:rsid w:val="00D56647"/>
    <w:rsid w:val="00D57905"/>
    <w:rsid w:val="00D60D76"/>
    <w:rsid w:val="00D63605"/>
    <w:rsid w:val="00D65F7D"/>
    <w:rsid w:val="00D67BB2"/>
    <w:rsid w:val="00D70301"/>
    <w:rsid w:val="00D7152D"/>
    <w:rsid w:val="00D72872"/>
    <w:rsid w:val="00D749BE"/>
    <w:rsid w:val="00D751ED"/>
    <w:rsid w:val="00D75B45"/>
    <w:rsid w:val="00D80EC1"/>
    <w:rsid w:val="00D8604C"/>
    <w:rsid w:val="00D87AE8"/>
    <w:rsid w:val="00D90CD3"/>
    <w:rsid w:val="00D91357"/>
    <w:rsid w:val="00D9252C"/>
    <w:rsid w:val="00D92C69"/>
    <w:rsid w:val="00D93368"/>
    <w:rsid w:val="00D9425A"/>
    <w:rsid w:val="00D94D49"/>
    <w:rsid w:val="00D95EDC"/>
    <w:rsid w:val="00D96957"/>
    <w:rsid w:val="00D96EBE"/>
    <w:rsid w:val="00DA09D6"/>
    <w:rsid w:val="00DA4313"/>
    <w:rsid w:val="00DA4615"/>
    <w:rsid w:val="00DA46BD"/>
    <w:rsid w:val="00DA4D2C"/>
    <w:rsid w:val="00DA70EF"/>
    <w:rsid w:val="00DB155A"/>
    <w:rsid w:val="00DB1E10"/>
    <w:rsid w:val="00DB26AE"/>
    <w:rsid w:val="00DB3157"/>
    <w:rsid w:val="00DB3792"/>
    <w:rsid w:val="00DB3BBD"/>
    <w:rsid w:val="00DB48ED"/>
    <w:rsid w:val="00DB4D5C"/>
    <w:rsid w:val="00DB4E89"/>
    <w:rsid w:val="00DB5AA7"/>
    <w:rsid w:val="00DB6F28"/>
    <w:rsid w:val="00DC01C1"/>
    <w:rsid w:val="00DC0C09"/>
    <w:rsid w:val="00DC20A5"/>
    <w:rsid w:val="00DC212D"/>
    <w:rsid w:val="00DC21F7"/>
    <w:rsid w:val="00DC4D21"/>
    <w:rsid w:val="00DC5E6E"/>
    <w:rsid w:val="00DD0BD6"/>
    <w:rsid w:val="00DD1724"/>
    <w:rsid w:val="00DD18B1"/>
    <w:rsid w:val="00DD19C5"/>
    <w:rsid w:val="00DD456A"/>
    <w:rsid w:val="00DD55D2"/>
    <w:rsid w:val="00DD77A2"/>
    <w:rsid w:val="00DD7A5E"/>
    <w:rsid w:val="00DE1256"/>
    <w:rsid w:val="00DE396C"/>
    <w:rsid w:val="00DE3F7E"/>
    <w:rsid w:val="00DE6ACD"/>
    <w:rsid w:val="00DE7224"/>
    <w:rsid w:val="00DE72B7"/>
    <w:rsid w:val="00DE7E41"/>
    <w:rsid w:val="00DF1D09"/>
    <w:rsid w:val="00DF24FA"/>
    <w:rsid w:val="00DF3967"/>
    <w:rsid w:val="00DF5763"/>
    <w:rsid w:val="00DF5A30"/>
    <w:rsid w:val="00DF740C"/>
    <w:rsid w:val="00E02679"/>
    <w:rsid w:val="00E07251"/>
    <w:rsid w:val="00E10A77"/>
    <w:rsid w:val="00E10FBA"/>
    <w:rsid w:val="00E1172B"/>
    <w:rsid w:val="00E1178F"/>
    <w:rsid w:val="00E11EDD"/>
    <w:rsid w:val="00E13293"/>
    <w:rsid w:val="00E1433F"/>
    <w:rsid w:val="00E16783"/>
    <w:rsid w:val="00E22DC6"/>
    <w:rsid w:val="00E23A1B"/>
    <w:rsid w:val="00E258F0"/>
    <w:rsid w:val="00E272F0"/>
    <w:rsid w:val="00E27496"/>
    <w:rsid w:val="00E278ED"/>
    <w:rsid w:val="00E302D0"/>
    <w:rsid w:val="00E30808"/>
    <w:rsid w:val="00E33245"/>
    <w:rsid w:val="00E3419B"/>
    <w:rsid w:val="00E34B2D"/>
    <w:rsid w:val="00E35C43"/>
    <w:rsid w:val="00E36B46"/>
    <w:rsid w:val="00E37A11"/>
    <w:rsid w:val="00E40C75"/>
    <w:rsid w:val="00E4220A"/>
    <w:rsid w:val="00E42CBB"/>
    <w:rsid w:val="00E43B87"/>
    <w:rsid w:val="00E46C3C"/>
    <w:rsid w:val="00E47B85"/>
    <w:rsid w:val="00E528C6"/>
    <w:rsid w:val="00E55212"/>
    <w:rsid w:val="00E56516"/>
    <w:rsid w:val="00E60E96"/>
    <w:rsid w:val="00E61C28"/>
    <w:rsid w:val="00E627D1"/>
    <w:rsid w:val="00E6333B"/>
    <w:rsid w:val="00E63824"/>
    <w:rsid w:val="00E650E2"/>
    <w:rsid w:val="00E65AC4"/>
    <w:rsid w:val="00E708DF"/>
    <w:rsid w:val="00E70B34"/>
    <w:rsid w:val="00E7173E"/>
    <w:rsid w:val="00E71827"/>
    <w:rsid w:val="00E76CD6"/>
    <w:rsid w:val="00E81B0E"/>
    <w:rsid w:val="00E81CF9"/>
    <w:rsid w:val="00E82596"/>
    <w:rsid w:val="00E82C6C"/>
    <w:rsid w:val="00E84554"/>
    <w:rsid w:val="00E85FDE"/>
    <w:rsid w:val="00E8610F"/>
    <w:rsid w:val="00E86721"/>
    <w:rsid w:val="00E878B6"/>
    <w:rsid w:val="00E9002D"/>
    <w:rsid w:val="00E92247"/>
    <w:rsid w:val="00E92739"/>
    <w:rsid w:val="00E94612"/>
    <w:rsid w:val="00E959A6"/>
    <w:rsid w:val="00E961D3"/>
    <w:rsid w:val="00EA1CFD"/>
    <w:rsid w:val="00EA1F52"/>
    <w:rsid w:val="00EA2545"/>
    <w:rsid w:val="00EA2908"/>
    <w:rsid w:val="00EA384A"/>
    <w:rsid w:val="00EA4306"/>
    <w:rsid w:val="00EA4434"/>
    <w:rsid w:val="00EA6089"/>
    <w:rsid w:val="00EA6544"/>
    <w:rsid w:val="00EA686F"/>
    <w:rsid w:val="00EA78FC"/>
    <w:rsid w:val="00EA79A8"/>
    <w:rsid w:val="00EA7DC6"/>
    <w:rsid w:val="00EB0D53"/>
    <w:rsid w:val="00EB2532"/>
    <w:rsid w:val="00EB5CC9"/>
    <w:rsid w:val="00EB5E15"/>
    <w:rsid w:val="00EB6C27"/>
    <w:rsid w:val="00EB74AF"/>
    <w:rsid w:val="00EC1DFA"/>
    <w:rsid w:val="00EC42FE"/>
    <w:rsid w:val="00EC676F"/>
    <w:rsid w:val="00EC6A77"/>
    <w:rsid w:val="00ED05B2"/>
    <w:rsid w:val="00ED1FCB"/>
    <w:rsid w:val="00ED266F"/>
    <w:rsid w:val="00ED2D61"/>
    <w:rsid w:val="00ED44A8"/>
    <w:rsid w:val="00ED532D"/>
    <w:rsid w:val="00ED706B"/>
    <w:rsid w:val="00ED7338"/>
    <w:rsid w:val="00ED7F66"/>
    <w:rsid w:val="00EE1FF6"/>
    <w:rsid w:val="00EE3EF0"/>
    <w:rsid w:val="00EE6CAA"/>
    <w:rsid w:val="00EE77FD"/>
    <w:rsid w:val="00EE7953"/>
    <w:rsid w:val="00EF143D"/>
    <w:rsid w:val="00EF4B75"/>
    <w:rsid w:val="00EF6122"/>
    <w:rsid w:val="00EF61FD"/>
    <w:rsid w:val="00EF7903"/>
    <w:rsid w:val="00F00AB6"/>
    <w:rsid w:val="00F01DBC"/>
    <w:rsid w:val="00F02A5E"/>
    <w:rsid w:val="00F04E60"/>
    <w:rsid w:val="00F0501B"/>
    <w:rsid w:val="00F05C3F"/>
    <w:rsid w:val="00F05F73"/>
    <w:rsid w:val="00F07510"/>
    <w:rsid w:val="00F137B9"/>
    <w:rsid w:val="00F15F4E"/>
    <w:rsid w:val="00F16DA4"/>
    <w:rsid w:val="00F17D0A"/>
    <w:rsid w:val="00F204F2"/>
    <w:rsid w:val="00F21705"/>
    <w:rsid w:val="00F23DD6"/>
    <w:rsid w:val="00F24F83"/>
    <w:rsid w:val="00F25D84"/>
    <w:rsid w:val="00F316B3"/>
    <w:rsid w:val="00F32ED4"/>
    <w:rsid w:val="00F33DF6"/>
    <w:rsid w:val="00F341D8"/>
    <w:rsid w:val="00F36BBB"/>
    <w:rsid w:val="00F40C67"/>
    <w:rsid w:val="00F431A5"/>
    <w:rsid w:val="00F441BD"/>
    <w:rsid w:val="00F457C1"/>
    <w:rsid w:val="00F45E2E"/>
    <w:rsid w:val="00F470FF"/>
    <w:rsid w:val="00F472F9"/>
    <w:rsid w:val="00F47EF8"/>
    <w:rsid w:val="00F50E27"/>
    <w:rsid w:val="00F51CD2"/>
    <w:rsid w:val="00F52C20"/>
    <w:rsid w:val="00F52FB9"/>
    <w:rsid w:val="00F53658"/>
    <w:rsid w:val="00F53A71"/>
    <w:rsid w:val="00F5420D"/>
    <w:rsid w:val="00F563F0"/>
    <w:rsid w:val="00F56A1E"/>
    <w:rsid w:val="00F626F9"/>
    <w:rsid w:val="00F631ED"/>
    <w:rsid w:val="00F634E5"/>
    <w:rsid w:val="00F64E2F"/>
    <w:rsid w:val="00F64F7B"/>
    <w:rsid w:val="00F65B49"/>
    <w:rsid w:val="00F660D3"/>
    <w:rsid w:val="00F67191"/>
    <w:rsid w:val="00F7048D"/>
    <w:rsid w:val="00F722CC"/>
    <w:rsid w:val="00F811D1"/>
    <w:rsid w:val="00F83755"/>
    <w:rsid w:val="00F840FA"/>
    <w:rsid w:val="00F841E3"/>
    <w:rsid w:val="00F85999"/>
    <w:rsid w:val="00F86128"/>
    <w:rsid w:val="00F8690E"/>
    <w:rsid w:val="00F91212"/>
    <w:rsid w:val="00F91594"/>
    <w:rsid w:val="00F9180F"/>
    <w:rsid w:val="00F94C48"/>
    <w:rsid w:val="00F966D3"/>
    <w:rsid w:val="00FA06E8"/>
    <w:rsid w:val="00FA1395"/>
    <w:rsid w:val="00FA2207"/>
    <w:rsid w:val="00FA555F"/>
    <w:rsid w:val="00FB0545"/>
    <w:rsid w:val="00FB0645"/>
    <w:rsid w:val="00FB1D1C"/>
    <w:rsid w:val="00FB2D49"/>
    <w:rsid w:val="00FB3C1F"/>
    <w:rsid w:val="00FB49CE"/>
    <w:rsid w:val="00FB4B9A"/>
    <w:rsid w:val="00FB768D"/>
    <w:rsid w:val="00FC03E0"/>
    <w:rsid w:val="00FC1277"/>
    <w:rsid w:val="00FC165F"/>
    <w:rsid w:val="00FC2183"/>
    <w:rsid w:val="00FC35AF"/>
    <w:rsid w:val="00FC389B"/>
    <w:rsid w:val="00FC4069"/>
    <w:rsid w:val="00FC5EDD"/>
    <w:rsid w:val="00FD00EC"/>
    <w:rsid w:val="00FD0D9B"/>
    <w:rsid w:val="00FD0E30"/>
    <w:rsid w:val="00FD1B8F"/>
    <w:rsid w:val="00FD22E7"/>
    <w:rsid w:val="00FD4082"/>
    <w:rsid w:val="00FE09A9"/>
    <w:rsid w:val="00FE4C48"/>
    <w:rsid w:val="00FE6836"/>
    <w:rsid w:val="00FF1D14"/>
    <w:rsid w:val="00FF368B"/>
    <w:rsid w:val="00FF4D0D"/>
    <w:rsid w:val="00FF6913"/>
    <w:rsid w:val="00FF7541"/>
    <w:rsid w:val="064D23F1"/>
    <w:rsid w:val="0CB152CC"/>
    <w:rsid w:val="0E6945C7"/>
    <w:rsid w:val="1296459E"/>
    <w:rsid w:val="178D4323"/>
    <w:rsid w:val="1B171D48"/>
    <w:rsid w:val="2214454C"/>
    <w:rsid w:val="234A0C17"/>
    <w:rsid w:val="25A4176D"/>
    <w:rsid w:val="272149FF"/>
    <w:rsid w:val="28F76AC2"/>
    <w:rsid w:val="2EEE75E1"/>
    <w:rsid w:val="2F8A1336"/>
    <w:rsid w:val="32244DFC"/>
    <w:rsid w:val="3406567B"/>
    <w:rsid w:val="341C462E"/>
    <w:rsid w:val="34267FDD"/>
    <w:rsid w:val="36B57820"/>
    <w:rsid w:val="38090756"/>
    <w:rsid w:val="47615D53"/>
    <w:rsid w:val="48921497"/>
    <w:rsid w:val="508120F6"/>
    <w:rsid w:val="50A52C7D"/>
    <w:rsid w:val="5CF01D54"/>
    <w:rsid w:val="5E5D3D30"/>
    <w:rsid w:val="66B3140A"/>
    <w:rsid w:val="68447755"/>
    <w:rsid w:val="68905FC3"/>
    <w:rsid w:val="69F0401D"/>
    <w:rsid w:val="6A9E6405"/>
    <w:rsid w:val="76C84C75"/>
    <w:rsid w:val="7C3D1A0A"/>
    <w:rsid w:val="7D226D02"/>
    <w:rsid w:val="7FD9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1">
    <w:name w:val="Strong"/>
    <w:qFormat/>
    <w:uiPriority w:val="22"/>
    <w:rPr>
      <w:b/>
    </w:rPr>
  </w:style>
  <w:style w:type="character" w:styleId="12">
    <w:name w:val="annotation reference"/>
    <w:basedOn w:val="10"/>
    <w:semiHidden/>
    <w:unhideWhenUsed/>
    <w:qFormat/>
    <w:uiPriority w:val="99"/>
    <w:rPr>
      <w:sz w:val="21"/>
      <w:szCs w:val="21"/>
    </w:rPr>
  </w:style>
  <w:style w:type="character" w:customStyle="1" w:styleId="13">
    <w:name w:val="页脚 字符"/>
    <w:link w:val="6"/>
    <w:semiHidden/>
    <w:qFormat/>
    <w:uiPriority w:val="99"/>
    <w:rPr>
      <w:kern w:val="2"/>
      <w:sz w:val="18"/>
      <w:szCs w:val="18"/>
    </w:rPr>
  </w:style>
  <w:style w:type="character" w:customStyle="1" w:styleId="14">
    <w:name w:val="标题 1 字符"/>
    <w:link w:val="2"/>
    <w:qFormat/>
    <w:uiPriority w:val="9"/>
    <w:rPr>
      <w:b/>
      <w:bCs/>
      <w:kern w:val="44"/>
      <w:sz w:val="44"/>
      <w:szCs w:val="44"/>
    </w:rPr>
  </w:style>
  <w:style w:type="character" w:customStyle="1" w:styleId="15">
    <w:name w:val="页眉 字符"/>
    <w:link w:val="7"/>
    <w:semiHidden/>
    <w:qFormat/>
    <w:uiPriority w:val="99"/>
    <w:rPr>
      <w:kern w:val="2"/>
      <w:sz w:val="18"/>
      <w:szCs w:val="18"/>
    </w:rPr>
  </w:style>
  <w:style w:type="character" w:customStyle="1" w:styleId="16">
    <w:name w:val="NormalCharacter"/>
    <w:semiHidden/>
    <w:qFormat/>
    <w:uiPriority w:val="0"/>
    <w:rPr>
      <w:rFonts w:ascii="Calibri" w:hAnsi="Calibri" w:eastAsia="方正仿宋简体" w:cs="Times New Roman"/>
      <w:kern w:val="2"/>
      <w:sz w:val="32"/>
      <w:szCs w:val="24"/>
      <w:lang w:val="en-US" w:eastAsia="zh-CN" w:bidi="ar-SA"/>
    </w:rPr>
  </w:style>
  <w:style w:type="character" w:customStyle="1" w:styleId="17">
    <w:name w:val="标题 2 字符"/>
    <w:link w:val="3"/>
    <w:qFormat/>
    <w:uiPriority w:val="9"/>
    <w:rPr>
      <w:rFonts w:ascii="Cambria" w:hAnsi="Cambria" w:eastAsia="宋体" w:cs="Times New Roman"/>
      <w:b/>
      <w:bCs/>
      <w:kern w:val="2"/>
      <w:sz w:val="32"/>
      <w:szCs w:val="32"/>
    </w:rPr>
  </w:style>
  <w:style w:type="character" w:customStyle="1" w:styleId="18">
    <w:name w:val="批注框文本 字符"/>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1507</Words>
  <Characters>8595</Characters>
  <Lines>71</Lines>
  <Paragraphs>20</Paragraphs>
  <TotalTime>164</TotalTime>
  <ScaleCrop>false</ScaleCrop>
  <LinksUpToDate>false</LinksUpToDate>
  <CharactersWithSpaces>10082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2022-04-15T13:57:00Z</dcterms:created>
  <dc:creator>文宇峰</dc:creator>
  <cp:lastModifiedBy>lenovo</cp:lastModifiedBy>
  <cp:lastPrinted>2022-04-19T03:17:48Z</cp:lastPrinted>
  <dcterms:modified xsi:type="dcterms:W3CDTF">2022-04-19T03:48:33Z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E58889DA6EB4481289767B8A45C2C264</vt:lpwstr>
  </property>
</Properties>
</file>